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A4FC7" w14:textId="50182B2F" w:rsidR="00F64A34" w:rsidRDefault="00F64A34" w:rsidP="00F64A34">
      <w:pPr>
        <w:spacing w:line="360" w:lineRule="auto"/>
        <w:jc w:val="center"/>
        <w:rPr>
          <w:rFonts w:ascii="Arial" w:eastAsia="Times New Roman" w:hAnsi="Arial" w:cs="Arial"/>
          <w:b/>
          <w:color w:val="222222"/>
          <w:szCs w:val="20"/>
          <w:shd w:val="clear" w:color="auto" w:fill="FFFFFF"/>
          <w:lang w:val="en-GB"/>
        </w:rPr>
      </w:pPr>
      <w:r w:rsidRPr="00F64A34">
        <w:rPr>
          <w:rFonts w:ascii="Arial" w:eastAsia="Times New Roman" w:hAnsi="Arial" w:cs="Arial"/>
          <w:b/>
          <w:color w:val="222222"/>
          <w:szCs w:val="20"/>
          <w:shd w:val="clear" w:color="auto" w:fill="FFFFFF"/>
          <w:lang w:val="en-GB"/>
        </w:rPr>
        <w:t>The Gospel in a Post-Foundational Society</w:t>
      </w:r>
    </w:p>
    <w:p w14:paraId="5C89CAF5" w14:textId="6D96DFE4" w:rsidR="00F64A34" w:rsidRPr="00F64A34" w:rsidRDefault="00F64A34" w:rsidP="00F64A34">
      <w:pPr>
        <w:spacing w:line="360" w:lineRule="auto"/>
        <w:jc w:val="center"/>
        <w:rPr>
          <w:rFonts w:ascii="Arial" w:eastAsia="Times New Roman" w:hAnsi="Arial" w:cs="Arial"/>
          <w:b/>
          <w:color w:val="222222"/>
          <w:szCs w:val="20"/>
          <w:shd w:val="clear" w:color="auto" w:fill="FFFFFF"/>
          <w:lang w:val="en-GB"/>
        </w:rPr>
      </w:pPr>
      <w:r w:rsidRPr="00F64A34">
        <w:rPr>
          <w:rFonts w:ascii="Arial" w:eastAsia="Times New Roman" w:hAnsi="Arial" w:cs="Arial"/>
          <w:b/>
          <w:color w:val="222222"/>
          <w:szCs w:val="20"/>
          <w:shd w:val="clear" w:color="auto" w:fill="FFFFFF"/>
          <w:lang w:val="en-GB"/>
        </w:rPr>
        <w:t xml:space="preserve">The continuing relevance of </w:t>
      </w:r>
      <w:proofErr w:type="spellStart"/>
      <w:r w:rsidRPr="00F64A34">
        <w:rPr>
          <w:rFonts w:ascii="Arial" w:eastAsia="Times New Roman" w:hAnsi="Arial" w:cs="Arial"/>
          <w:b/>
          <w:color w:val="222222"/>
          <w:szCs w:val="20"/>
          <w:shd w:val="clear" w:color="auto" w:fill="FFFFFF"/>
          <w:lang w:val="en-GB"/>
        </w:rPr>
        <w:t>Lesslie</w:t>
      </w:r>
      <w:proofErr w:type="spellEnd"/>
      <w:r w:rsidRPr="00F64A34">
        <w:rPr>
          <w:rFonts w:ascii="Arial" w:eastAsia="Times New Roman" w:hAnsi="Arial" w:cs="Arial"/>
          <w:b/>
          <w:color w:val="222222"/>
          <w:szCs w:val="20"/>
          <w:shd w:val="clear" w:color="auto" w:fill="FFFFFF"/>
          <w:lang w:val="en-GB"/>
        </w:rPr>
        <w:t xml:space="preserve"> </w:t>
      </w:r>
      <w:proofErr w:type="spellStart"/>
      <w:r w:rsidRPr="00F64A34">
        <w:rPr>
          <w:rFonts w:ascii="Arial" w:eastAsia="Times New Roman" w:hAnsi="Arial" w:cs="Arial"/>
          <w:b/>
          <w:color w:val="222222"/>
          <w:szCs w:val="20"/>
          <w:shd w:val="clear" w:color="auto" w:fill="FFFFFF"/>
          <w:lang w:val="en-GB"/>
        </w:rPr>
        <w:t>Newbigin’s</w:t>
      </w:r>
      <w:proofErr w:type="spellEnd"/>
      <w:r w:rsidRPr="00F64A34">
        <w:rPr>
          <w:rFonts w:ascii="Arial" w:eastAsia="Times New Roman" w:hAnsi="Arial" w:cs="Arial"/>
          <w:b/>
          <w:color w:val="222222"/>
          <w:szCs w:val="20"/>
          <w:shd w:val="clear" w:color="auto" w:fill="FFFFFF"/>
          <w:lang w:val="en-GB"/>
        </w:rPr>
        <w:t xml:space="preserve"> Christological epistemology</w:t>
      </w:r>
    </w:p>
    <w:p w14:paraId="170C77C4" w14:textId="77777777" w:rsidR="00F64A34" w:rsidRDefault="00F64A34" w:rsidP="00BC6B27">
      <w:pPr>
        <w:spacing w:line="360" w:lineRule="auto"/>
        <w:jc w:val="both"/>
        <w:rPr>
          <w:rFonts w:ascii="Arial" w:eastAsia="Times New Roman" w:hAnsi="Arial" w:cs="Arial"/>
          <w:b/>
          <w:i/>
          <w:color w:val="222222"/>
          <w:szCs w:val="20"/>
          <w:shd w:val="clear" w:color="auto" w:fill="FFFFFF"/>
        </w:rPr>
      </w:pPr>
    </w:p>
    <w:p w14:paraId="32B4E30A" w14:textId="44B356F9" w:rsidR="00F64A34" w:rsidRDefault="00F64A34" w:rsidP="00BC6B27">
      <w:pPr>
        <w:spacing w:line="360" w:lineRule="auto"/>
        <w:jc w:val="both"/>
        <w:rPr>
          <w:rFonts w:ascii="Arial" w:eastAsia="Times New Roman" w:hAnsi="Arial" w:cs="Arial"/>
          <w:b/>
          <w:i/>
          <w:color w:val="222222"/>
          <w:szCs w:val="20"/>
          <w:shd w:val="clear" w:color="auto" w:fill="FFFFFF"/>
        </w:rPr>
      </w:pPr>
      <w:r>
        <w:rPr>
          <w:rFonts w:ascii="Arial" w:eastAsia="Times New Roman" w:hAnsi="Arial" w:cs="Arial"/>
          <w:b/>
          <w:i/>
          <w:color w:val="222222"/>
          <w:szCs w:val="20"/>
          <w:shd w:val="clear" w:color="auto" w:fill="FFFFFF"/>
        </w:rPr>
        <w:t>Abstract</w:t>
      </w:r>
    </w:p>
    <w:p w14:paraId="6076B2B9" w14:textId="76CDA19B" w:rsidR="00F64A34" w:rsidRPr="00F64A34" w:rsidRDefault="00F64A34" w:rsidP="00BC6B27">
      <w:pPr>
        <w:spacing w:line="360" w:lineRule="auto"/>
        <w:jc w:val="both"/>
        <w:rPr>
          <w:rFonts w:ascii="Arial" w:eastAsia="Times New Roman" w:hAnsi="Arial" w:cs="Arial"/>
          <w:color w:val="222222"/>
          <w:szCs w:val="20"/>
          <w:shd w:val="clear" w:color="auto" w:fill="FFFFFF"/>
        </w:rPr>
      </w:pPr>
      <w:proofErr w:type="spellStart"/>
      <w:r w:rsidRPr="00F64A34">
        <w:rPr>
          <w:rFonts w:ascii="Arial" w:eastAsia="Times New Roman" w:hAnsi="Arial" w:cs="Arial"/>
          <w:color w:val="222222"/>
          <w:szCs w:val="20"/>
          <w:shd w:val="clear" w:color="auto" w:fill="FFFFFF"/>
          <w:lang w:val="en-GB"/>
        </w:rPr>
        <w:t>Lesslie</w:t>
      </w:r>
      <w:proofErr w:type="spellEnd"/>
      <w:r w:rsidRPr="00F64A34">
        <w:rPr>
          <w:rFonts w:ascii="Arial" w:eastAsia="Times New Roman" w:hAnsi="Arial" w:cs="Arial"/>
          <w:color w:val="222222"/>
          <w:szCs w:val="20"/>
          <w:shd w:val="clear" w:color="auto" w:fill="FFFFFF"/>
          <w:lang w:val="en-GB"/>
        </w:rPr>
        <w:t xml:space="preserve"> </w:t>
      </w:r>
      <w:proofErr w:type="spellStart"/>
      <w:r w:rsidRPr="00F64A34">
        <w:rPr>
          <w:rFonts w:ascii="Arial" w:eastAsia="Times New Roman" w:hAnsi="Arial" w:cs="Arial"/>
          <w:color w:val="222222"/>
          <w:szCs w:val="20"/>
          <w:shd w:val="clear" w:color="auto" w:fill="FFFFFF"/>
          <w:lang w:val="en-GB"/>
        </w:rPr>
        <w:t>Newbigin’s</w:t>
      </w:r>
      <w:proofErr w:type="spellEnd"/>
      <w:r w:rsidRPr="00F64A34">
        <w:rPr>
          <w:rFonts w:ascii="Arial" w:eastAsia="Times New Roman" w:hAnsi="Arial" w:cs="Arial"/>
          <w:color w:val="222222"/>
          <w:szCs w:val="20"/>
          <w:shd w:val="clear" w:color="auto" w:fill="FFFFFF"/>
          <w:lang w:val="en-GB"/>
        </w:rPr>
        <w:t xml:space="preserve"> book </w:t>
      </w:r>
      <w:r w:rsidRPr="00F64A34">
        <w:rPr>
          <w:rFonts w:ascii="Arial" w:eastAsia="Times New Roman" w:hAnsi="Arial" w:cs="Arial"/>
          <w:i/>
          <w:color w:val="222222"/>
          <w:szCs w:val="20"/>
          <w:shd w:val="clear" w:color="auto" w:fill="FFFFFF"/>
          <w:lang w:val="en-GB"/>
        </w:rPr>
        <w:t xml:space="preserve">The Gospel in a Pluralist Society </w:t>
      </w:r>
      <w:r w:rsidRPr="00F64A34">
        <w:rPr>
          <w:rFonts w:ascii="Arial" w:eastAsia="Times New Roman" w:hAnsi="Arial" w:cs="Arial"/>
          <w:color w:val="222222"/>
          <w:szCs w:val="20"/>
          <w:shd w:val="clear" w:color="auto" w:fill="FFFFFF"/>
          <w:lang w:val="en-GB"/>
        </w:rPr>
        <w:t xml:space="preserve">was published 30 years ago this year. I want to offer an outline of his thesis, and in particular draw out the way he brought together Michael Polanyi’s epistemology with his understanding of the Gospel and the saving work of God, in and through Jesus Christ. I hope to show, with the help of Paul </w:t>
      </w:r>
      <w:proofErr w:type="spellStart"/>
      <w:r w:rsidRPr="00F64A34">
        <w:rPr>
          <w:rFonts w:ascii="Arial" w:eastAsia="Times New Roman" w:hAnsi="Arial" w:cs="Arial"/>
          <w:color w:val="222222"/>
          <w:szCs w:val="20"/>
          <w:shd w:val="clear" w:color="auto" w:fill="FFFFFF"/>
          <w:lang w:val="en-GB"/>
        </w:rPr>
        <w:t>LaMontagne’s</w:t>
      </w:r>
      <w:proofErr w:type="spellEnd"/>
      <w:r w:rsidRPr="00F64A34">
        <w:rPr>
          <w:rFonts w:ascii="Arial" w:eastAsia="Times New Roman" w:hAnsi="Arial" w:cs="Arial"/>
          <w:color w:val="222222"/>
          <w:szCs w:val="20"/>
          <w:shd w:val="clear" w:color="auto" w:fill="FFFFFF"/>
          <w:lang w:val="en-GB"/>
        </w:rPr>
        <w:t xml:space="preserve"> work on epistemology, that </w:t>
      </w:r>
      <w:proofErr w:type="spellStart"/>
      <w:r w:rsidRPr="00F64A34">
        <w:rPr>
          <w:rFonts w:ascii="Arial" w:eastAsia="Times New Roman" w:hAnsi="Arial" w:cs="Arial"/>
          <w:color w:val="222222"/>
          <w:szCs w:val="20"/>
          <w:shd w:val="clear" w:color="auto" w:fill="FFFFFF"/>
          <w:lang w:val="en-GB"/>
        </w:rPr>
        <w:t>Newbigin’s</w:t>
      </w:r>
      <w:proofErr w:type="spellEnd"/>
      <w:r w:rsidRPr="00F64A34">
        <w:rPr>
          <w:rFonts w:ascii="Arial" w:eastAsia="Times New Roman" w:hAnsi="Arial" w:cs="Arial"/>
          <w:color w:val="222222"/>
          <w:szCs w:val="20"/>
          <w:shd w:val="clear" w:color="auto" w:fill="FFFFFF"/>
          <w:lang w:val="en-GB"/>
        </w:rPr>
        <w:t xml:space="preserve"> approach is neither positivistic or irrational. Further, I hope to show with the help of Bruce McCormack’s theological work that the primary role that </w:t>
      </w:r>
      <w:proofErr w:type="spellStart"/>
      <w:r w:rsidRPr="00F64A34">
        <w:rPr>
          <w:rFonts w:ascii="Arial" w:eastAsia="Times New Roman" w:hAnsi="Arial" w:cs="Arial"/>
          <w:color w:val="222222"/>
          <w:szCs w:val="20"/>
          <w:shd w:val="clear" w:color="auto" w:fill="FFFFFF"/>
          <w:lang w:val="en-GB"/>
        </w:rPr>
        <w:t>Newbigin</w:t>
      </w:r>
      <w:proofErr w:type="spellEnd"/>
      <w:r w:rsidRPr="00F64A34">
        <w:rPr>
          <w:rFonts w:ascii="Arial" w:eastAsia="Times New Roman" w:hAnsi="Arial" w:cs="Arial"/>
          <w:color w:val="222222"/>
          <w:szCs w:val="20"/>
          <w:shd w:val="clear" w:color="auto" w:fill="FFFFFF"/>
          <w:lang w:val="en-GB"/>
        </w:rPr>
        <w:t xml:space="preserve"> gives to the doctrine of election and refusal of metaphysical foundations makes his work of ongoing importance in the sharing of the Gospel in a ‘Post-Foundational’ society.</w:t>
      </w:r>
    </w:p>
    <w:p w14:paraId="49BDAC59" w14:textId="77777777" w:rsidR="00F64A34" w:rsidRDefault="00F64A34" w:rsidP="00BC6B27">
      <w:pPr>
        <w:spacing w:line="360" w:lineRule="auto"/>
        <w:jc w:val="both"/>
        <w:rPr>
          <w:rFonts w:ascii="Arial" w:eastAsia="Times New Roman" w:hAnsi="Arial" w:cs="Arial"/>
          <w:b/>
          <w:i/>
          <w:color w:val="222222"/>
          <w:szCs w:val="20"/>
          <w:shd w:val="clear" w:color="auto" w:fill="FFFFFF"/>
        </w:rPr>
      </w:pPr>
    </w:p>
    <w:p w14:paraId="4B07264A" w14:textId="4365C7F5" w:rsidR="00BC6B27" w:rsidRPr="00BC6B27" w:rsidRDefault="00BC6B27" w:rsidP="00BC6B27">
      <w:pPr>
        <w:spacing w:line="360" w:lineRule="auto"/>
        <w:jc w:val="both"/>
        <w:rPr>
          <w:rFonts w:ascii="Arial" w:eastAsia="Times New Roman" w:hAnsi="Arial" w:cs="Arial"/>
          <w:b/>
          <w:i/>
          <w:color w:val="222222"/>
          <w:szCs w:val="20"/>
          <w:shd w:val="clear" w:color="auto" w:fill="FFFFFF"/>
        </w:rPr>
      </w:pPr>
      <w:r w:rsidRPr="00BC6B27">
        <w:rPr>
          <w:rFonts w:ascii="Arial" w:eastAsia="Times New Roman" w:hAnsi="Arial" w:cs="Arial"/>
          <w:b/>
          <w:i/>
          <w:color w:val="222222"/>
          <w:szCs w:val="20"/>
          <w:shd w:val="clear" w:color="auto" w:fill="FFFFFF"/>
        </w:rPr>
        <w:t>Introduction</w:t>
      </w:r>
    </w:p>
    <w:p w14:paraId="708BE1BC" w14:textId="57281FB1" w:rsidR="00F64A34" w:rsidRPr="00F64A34" w:rsidRDefault="00CC106F" w:rsidP="00BC6B27">
      <w:pPr>
        <w:spacing w:line="360" w:lineRule="auto"/>
        <w:jc w:val="both"/>
        <w:rPr>
          <w:rFonts w:ascii="Arial" w:eastAsia="Times New Roman" w:hAnsi="Arial" w:cs="Arial"/>
          <w:color w:val="222222"/>
          <w:szCs w:val="20"/>
          <w:shd w:val="clear" w:color="auto" w:fill="FFFFFF"/>
        </w:rPr>
      </w:pPr>
      <w:r w:rsidRPr="00CC106F">
        <w:rPr>
          <w:rFonts w:ascii="Arial" w:eastAsia="Times New Roman" w:hAnsi="Arial" w:cs="Arial"/>
          <w:color w:val="222222"/>
          <w:szCs w:val="20"/>
          <w:shd w:val="clear" w:color="auto" w:fill="FFFFFF"/>
        </w:rPr>
        <w:t xml:space="preserve">In 2019, it will be thirty years since the publication of </w:t>
      </w:r>
      <w:proofErr w:type="spellStart"/>
      <w:r w:rsidRPr="00CC106F">
        <w:rPr>
          <w:rFonts w:ascii="Arial" w:eastAsia="Times New Roman" w:hAnsi="Arial" w:cs="Arial"/>
          <w:color w:val="222222"/>
          <w:szCs w:val="20"/>
          <w:shd w:val="clear" w:color="auto" w:fill="FFFFFF"/>
        </w:rPr>
        <w:t>Lesslie</w:t>
      </w:r>
      <w:proofErr w:type="spellEnd"/>
      <w:r w:rsidRPr="00CC106F">
        <w:rPr>
          <w:rFonts w:ascii="Arial" w:eastAsia="Times New Roman" w:hAnsi="Arial" w:cs="Arial"/>
          <w:color w:val="222222"/>
          <w:szCs w:val="20"/>
          <w:shd w:val="clear" w:color="auto" w:fill="FFFFFF"/>
        </w:rPr>
        <w:t xml:space="preserve"> </w:t>
      </w:r>
      <w:proofErr w:type="spellStart"/>
      <w:r w:rsidRPr="00CC106F">
        <w:rPr>
          <w:rFonts w:ascii="Arial" w:eastAsia="Times New Roman" w:hAnsi="Arial" w:cs="Arial"/>
          <w:color w:val="222222"/>
          <w:szCs w:val="20"/>
          <w:shd w:val="clear" w:color="auto" w:fill="FFFFFF"/>
        </w:rPr>
        <w:t>Newbigin’s</w:t>
      </w:r>
      <w:proofErr w:type="spellEnd"/>
      <w:r w:rsidRPr="00CC106F">
        <w:rPr>
          <w:rFonts w:ascii="Arial" w:eastAsia="Times New Roman" w:hAnsi="Arial" w:cs="Arial"/>
          <w:color w:val="222222"/>
          <w:szCs w:val="20"/>
          <w:shd w:val="clear" w:color="auto" w:fill="FFFFFF"/>
        </w:rPr>
        <w:t xml:space="preserve"> classic work</w:t>
      </w:r>
      <w:r w:rsidRPr="00BC6B27">
        <w:rPr>
          <w:rFonts w:ascii="Arial" w:eastAsia="Times New Roman" w:hAnsi="Arial" w:cs="Arial"/>
          <w:color w:val="222222"/>
          <w:szCs w:val="20"/>
          <w:shd w:val="clear" w:color="auto" w:fill="FFFFFF"/>
        </w:rPr>
        <w:t> </w:t>
      </w:r>
      <w:r w:rsidRPr="00CC106F">
        <w:rPr>
          <w:rFonts w:ascii="Arial" w:eastAsia="Times New Roman" w:hAnsi="Arial" w:cs="Arial"/>
          <w:i/>
          <w:iCs/>
          <w:color w:val="222222"/>
          <w:szCs w:val="20"/>
        </w:rPr>
        <w:t>The Gospel in a Pluralist Society</w:t>
      </w:r>
      <w:r w:rsidRPr="00CC106F">
        <w:rPr>
          <w:rFonts w:ascii="Arial" w:eastAsia="Times New Roman" w:hAnsi="Arial" w:cs="Arial"/>
          <w:color w:val="222222"/>
          <w:szCs w:val="20"/>
          <w:shd w:val="clear" w:color="auto" w:fill="FFFFFF"/>
        </w:rPr>
        <w:t xml:space="preserve">. In this book, </w:t>
      </w:r>
      <w:proofErr w:type="spellStart"/>
      <w:r w:rsidRPr="00CC106F">
        <w:rPr>
          <w:rFonts w:ascii="Arial" w:eastAsia="Times New Roman" w:hAnsi="Arial" w:cs="Arial"/>
          <w:color w:val="222222"/>
          <w:szCs w:val="20"/>
          <w:shd w:val="clear" w:color="auto" w:fill="FFFFFF"/>
        </w:rPr>
        <w:t>Newbigin</w:t>
      </w:r>
      <w:proofErr w:type="spellEnd"/>
      <w:r w:rsidRPr="00CC106F">
        <w:rPr>
          <w:rFonts w:ascii="Arial" w:eastAsia="Times New Roman" w:hAnsi="Arial" w:cs="Arial"/>
          <w:color w:val="222222"/>
          <w:szCs w:val="20"/>
          <w:shd w:val="clear" w:color="auto" w:fill="FFFFFF"/>
        </w:rPr>
        <w:t xml:space="preserve"> produced an epistemological critique of what he called the ‘myth of the secular society’ and offered a theological treatise for a renewed confidence in the Gospel. At the heart of this confidence is his conviction that the doctrine of Christ and the logic of election and mission are indivisible. This creates a relationship between the Gospel and other religions and cultures that is liberating for both the church and society as a whole. Mission is intrinsic to the Gospel rather than a subsequent movement, and therefore the church is called to be neither reticent about proclaiming the uniqueness of Jesus as </w:t>
      </w:r>
      <w:proofErr w:type="spellStart"/>
      <w:r w:rsidRPr="00CC106F">
        <w:rPr>
          <w:rFonts w:ascii="Arial" w:eastAsia="Times New Roman" w:hAnsi="Arial" w:cs="Arial"/>
          <w:color w:val="222222"/>
          <w:szCs w:val="20"/>
          <w:shd w:val="clear" w:color="auto" w:fill="FFFFFF"/>
        </w:rPr>
        <w:t>Saviour</w:t>
      </w:r>
      <w:proofErr w:type="spellEnd"/>
      <w:r w:rsidRPr="00CC106F">
        <w:rPr>
          <w:rFonts w:ascii="Arial" w:eastAsia="Times New Roman" w:hAnsi="Arial" w:cs="Arial"/>
          <w:color w:val="222222"/>
          <w:szCs w:val="20"/>
          <w:shd w:val="clear" w:color="auto" w:fill="FFFFFF"/>
        </w:rPr>
        <w:t xml:space="preserve"> and Lord, nor make an arrogant claim to be in ‘possession’</w:t>
      </w:r>
      <w:r w:rsidRPr="00BC6B27">
        <w:rPr>
          <w:rFonts w:ascii="Arial" w:eastAsia="Times New Roman" w:hAnsi="Arial" w:cs="Arial"/>
          <w:i/>
          <w:iCs/>
          <w:color w:val="222222"/>
          <w:szCs w:val="20"/>
        </w:rPr>
        <w:t> </w:t>
      </w:r>
      <w:r w:rsidRPr="00CC106F">
        <w:rPr>
          <w:rFonts w:ascii="Arial" w:eastAsia="Times New Roman" w:hAnsi="Arial" w:cs="Arial"/>
          <w:color w:val="222222"/>
          <w:szCs w:val="20"/>
          <w:shd w:val="clear" w:color="auto" w:fill="FFFFFF"/>
        </w:rPr>
        <w:t xml:space="preserve">of the truth. For </w:t>
      </w:r>
      <w:proofErr w:type="spellStart"/>
      <w:r w:rsidRPr="00CC106F">
        <w:rPr>
          <w:rFonts w:ascii="Arial" w:eastAsia="Times New Roman" w:hAnsi="Arial" w:cs="Arial"/>
          <w:color w:val="222222"/>
          <w:szCs w:val="20"/>
          <w:shd w:val="clear" w:color="auto" w:fill="FFFFFF"/>
        </w:rPr>
        <w:t>Newbigin</w:t>
      </w:r>
      <w:proofErr w:type="spellEnd"/>
      <w:r w:rsidRPr="00CC106F">
        <w:rPr>
          <w:rFonts w:ascii="Arial" w:eastAsia="Times New Roman" w:hAnsi="Arial" w:cs="Arial"/>
          <w:color w:val="222222"/>
          <w:szCs w:val="20"/>
          <w:shd w:val="clear" w:color="auto" w:fill="FFFFFF"/>
        </w:rPr>
        <w:t>, if the church embraces (as it should) the reality of a pluralist society but</w:t>
      </w:r>
      <w:r w:rsidR="00F64A34">
        <w:rPr>
          <w:rFonts w:ascii="Arial" w:eastAsia="Times New Roman" w:hAnsi="Arial" w:cs="Arial"/>
          <w:color w:val="222222"/>
          <w:szCs w:val="20"/>
          <w:shd w:val="clear" w:color="auto" w:fill="FFFFFF"/>
        </w:rPr>
        <w:t>,</w:t>
      </w:r>
      <w:r w:rsidRPr="00CC106F">
        <w:rPr>
          <w:rFonts w:ascii="Arial" w:eastAsia="Times New Roman" w:hAnsi="Arial" w:cs="Arial"/>
          <w:color w:val="222222"/>
          <w:szCs w:val="20"/>
          <w:shd w:val="clear" w:color="auto" w:fill="FFFFFF"/>
        </w:rPr>
        <w:t xml:space="preserve"> </w:t>
      </w:r>
      <w:r w:rsidR="00F64A34">
        <w:rPr>
          <w:rFonts w:ascii="Arial" w:eastAsia="Times New Roman" w:hAnsi="Arial" w:cs="Arial"/>
          <w:color w:val="222222"/>
          <w:szCs w:val="20"/>
          <w:shd w:val="clear" w:color="auto" w:fill="FFFFFF"/>
        </w:rPr>
        <w:t xml:space="preserve">further, </w:t>
      </w:r>
      <w:r w:rsidRPr="00CC106F">
        <w:rPr>
          <w:rFonts w:ascii="Arial" w:eastAsia="Times New Roman" w:hAnsi="Arial" w:cs="Arial"/>
          <w:color w:val="222222"/>
          <w:szCs w:val="20"/>
          <w:shd w:val="clear" w:color="auto" w:fill="FFFFFF"/>
        </w:rPr>
        <w:t xml:space="preserve">assumes that this necessitates demurring on the ‘universal intent’ of the Gospel in the name of humility and for the sake unity, it has accepted an account of autonomous reason that is as illusory for non-Christians as for Christians. This erroneous rationality leads instead to confusion and hopelessness, and ultimately anything but the peace that is the goal of those who argue for a ‘secular society’ in which the public realm of universally accepted facts and personal beliefs are somehow separable. </w:t>
      </w:r>
      <w:proofErr w:type="spellStart"/>
      <w:r w:rsidRPr="00CC106F">
        <w:rPr>
          <w:rFonts w:ascii="Arial" w:eastAsia="Times New Roman" w:hAnsi="Arial" w:cs="Arial"/>
          <w:color w:val="222222"/>
          <w:szCs w:val="20"/>
          <w:shd w:val="clear" w:color="auto" w:fill="FFFFFF"/>
        </w:rPr>
        <w:t>Newbigin</w:t>
      </w:r>
      <w:proofErr w:type="spellEnd"/>
      <w:r w:rsidRPr="00CC106F">
        <w:rPr>
          <w:rFonts w:ascii="Arial" w:eastAsia="Times New Roman" w:hAnsi="Arial" w:cs="Arial"/>
          <w:color w:val="222222"/>
          <w:szCs w:val="20"/>
          <w:shd w:val="clear" w:color="auto" w:fill="FFFFFF"/>
        </w:rPr>
        <w:t xml:space="preserve"> calls the Gospel is “Public Truth” and the Bible “universal history” not as a culturally imperialist move but the necessary implication of the ontological </w:t>
      </w:r>
      <w:r w:rsidRPr="00CC106F">
        <w:rPr>
          <w:rFonts w:ascii="Arial" w:eastAsia="Times New Roman" w:hAnsi="Arial" w:cs="Arial"/>
          <w:color w:val="222222"/>
          <w:szCs w:val="20"/>
          <w:shd w:val="clear" w:color="auto" w:fill="FFFFFF"/>
        </w:rPr>
        <w:lastRenderedPageBreak/>
        <w:t xml:space="preserve">primacy of the life, death and resurrection of Jesus Christ. The church’s witness to that reality should bear the marks of Jesus’ proclamation of the kingdom of God (costly self-giving) and any sort of institutional or political coercion to accept this truth is incongruent with its reality. In outlining this thesis, </w:t>
      </w:r>
      <w:proofErr w:type="spellStart"/>
      <w:r w:rsidRPr="00CC106F">
        <w:rPr>
          <w:rFonts w:ascii="Arial" w:eastAsia="Times New Roman" w:hAnsi="Arial" w:cs="Arial"/>
          <w:color w:val="222222"/>
          <w:szCs w:val="20"/>
          <w:shd w:val="clear" w:color="auto" w:fill="FFFFFF"/>
        </w:rPr>
        <w:t>Newbigin</w:t>
      </w:r>
      <w:proofErr w:type="spellEnd"/>
      <w:r w:rsidRPr="00CC106F">
        <w:rPr>
          <w:rFonts w:ascii="Arial" w:eastAsia="Times New Roman" w:hAnsi="Arial" w:cs="Arial"/>
          <w:color w:val="222222"/>
          <w:szCs w:val="20"/>
          <w:shd w:val="clear" w:color="auto" w:fill="FFFFFF"/>
        </w:rPr>
        <w:t xml:space="preserve"> drew upon significant epistemological and theological work contemporary to him (Michael Polanyi and Karl Barth in particular) as well as, of course, his wealth of experience as a British missionary and a local bishop in India for decades. In doing so, he also employed terms that he drew from ‘narrative’ and ‘postliberal’ theology, but I hope to argue that his work does not ultimately depend upon these theological moves. </w:t>
      </w:r>
      <w:r w:rsidR="00F64A34">
        <w:rPr>
          <w:rFonts w:ascii="Arial" w:eastAsia="Times New Roman" w:hAnsi="Arial" w:cs="Arial"/>
          <w:color w:val="222222"/>
          <w:szCs w:val="20"/>
          <w:shd w:val="clear" w:color="auto" w:fill="FFFFFF"/>
        </w:rPr>
        <w:t xml:space="preserve">[My purpose in </w:t>
      </w:r>
      <w:r w:rsidR="00202380">
        <w:rPr>
          <w:rFonts w:ascii="Arial" w:eastAsia="Times New Roman" w:hAnsi="Arial" w:cs="Arial"/>
          <w:color w:val="222222"/>
          <w:szCs w:val="20"/>
          <w:shd w:val="clear" w:color="auto" w:fill="FFFFFF"/>
        </w:rPr>
        <w:t>the</w:t>
      </w:r>
      <w:r w:rsidR="00F64A34">
        <w:rPr>
          <w:rFonts w:ascii="Arial" w:eastAsia="Times New Roman" w:hAnsi="Arial" w:cs="Arial"/>
          <w:color w:val="222222"/>
          <w:szCs w:val="20"/>
          <w:shd w:val="clear" w:color="auto" w:fill="FFFFFF"/>
        </w:rPr>
        <w:t xml:space="preserve"> opening section is to give an outline of his thesis in </w:t>
      </w:r>
      <w:r w:rsidR="00F64A34">
        <w:rPr>
          <w:rFonts w:ascii="Arial" w:eastAsia="Times New Roman" w:hAnsi="Arial" w:cs="Arial"/>
          <w:i/>
          <w:color w:val="222222"/>
          <w:szCs w:val="20"/>
          <w:shd w:val="clear" w:color="auto" w:fill="FFFFFF"/>
        </w:rPr>
        <w:t>The Gospel in a Pluralist society</w:t>
      </w:r>
      <w:r w:rsidR="00F64A34">
        <w:rPr>
          <w:rFonts w:ascii="Arial" w:eastAsia="Times New Roman" w:hAnsi="Arial" w:cs="Arial"/>
          <w:color w:val="222222"/>
          <w:szCs w:val="20"/>
          <w:shd w:val="clear" w:color="auto" w:fill="FFFFFF"/>
        </w:rPr>
        <w:t>, drawing particular attention to his epistemology, Christology and doctrine of election.</w:t>
      </w:r>
      <w:r w:rsidR="00202380">
        <w:rPr>
          <w:rFonts w:ascii="Arial" w:eastAsia="Times New Roman" w:hAnsi="Arial" w:cs="Arial"/>
          <w:color w:val="222222"/>
          <w:szCs w:val="20"/>
          <w:shd w:val="clear" w:color="auto" w:fill="FFFFFF"/>
        </w:rPr>
        <w:t xml:space="preserve"> Then</w:t>
      </w:r>
      <w:proofErr w:type="gramStart"/>
      <w:r w:rsidR="00202380">
        <w:rPr>
          <w:rFonts w:ascii="Arial" w:eastAsia="Times New Roman" w:hAnsi="Arial" w:cs="Arial"/>
          <w:color w:val="222222"/>
          <w:szCs w:val="20"/>
          <w:shd w:val="clear" w:color="auto" w:fill="FFFFFF"/>
        </w:rPr>
        <w:t xml:space="preserve">, </w:t>
      </w:r>
      <w:r w:rsidR="00F64A34">
        <w:rPr>
          <w:rFonts w:ascii="Arial" w:eastAsia="Times New Roman" w:hAnsi="Arial" w:cs="Arial"/>
          <w:color w:val="222222"/>
          <w:szCs w:val="20"/>
          <w:shd w:val="clear" w:color="auto" w:fill="FFFFFF"/>
        </w:rPr>
        <w:t>]</w:t>
      </w:r>
      <w:proofErr w:type="gramEnd"/>
    </w:p>
    <w:p w14:paraId="6C54C23E" w14:textId="0D9FB815" w:rsidR="00873C7F" w:rsidRDefault="001B65CB" w:rsidP="00BC6B27">
      <w:pPr>
        <w:spacing w:line="360" w:lineRule="auto"/>
        <w:jc w:val="both"/>
        <w:rPr>
          <w:rFonts w:ascii="Arial" w:eastAsia="Times New Roman" w:hAnsi="Arial" w:cs="Arial"/>
          <w:color w:val="222222"/>
          <w:szCs w:val="20"/>
          <w:shd w:val="clear" w:color="auto" w:fill="FFFFFF"/>
        </w:rPr>
      </w:pPr>
    </w:p>
    <w:p w14:paraId="4CB0FB14" w14:textId="07ED5F84" w:rsidR="00BC6B27" w:rsidRDefault="006B3B59" w:rsidP="00BC6B27">
      <w:pPr>
        <w:spacing w:line="360" w:lineRule="auto"/>
        <w:jc w:val="both"/>
        <w:rPr>
          <w:rFonts w:ascii="Arial" w:eastAsia="Times New Roman" w:hAnsi="Arial" w:cs="Arial"/>
        </w:rPr>
      </w:pPr>
      <w:r>
        <w:rPr>
          <w:rFonts w:ascii="Arial" w:eastAsia="Times New Roman" w:hAnsi="Arial" w:cs="Arial"/>
          <w:b/>
          <w:i/>
          <w:color w:val="222222"/>
          <w:szCs w:val="20"/>
          <w:shd w:val="clear" w:color="auto" w:fill="FFFFFF"/>
        </w:rPr>
        <w:t>The centrality of Jesus Christ in mission and theology</w:t>
      </w:r>
    </w:p>
    <w:p w14:paraId="16F9739A" w14:textId="70D83195" w:rsidR="003D48BA" w:rsidRDefault="007D6987" w:rsidP="003D48BA">
      <w:pPr>
        <w:spacing w:line="360" w:lineRule="auto"/>
        <w:jc w:val="both"/>
        <w:rPr>
          <w:rFonts w:ascii="Arial" w:eastAsia="Times New Roman" w:hAnsi="Arial" w:cs="Arial"/>
        </w:rPr>
      </w:pPr>
      <w:proofErr w:type="spellStart"/>
      <w:r>
        <w:rPr>
          <w:rFonts w:ascii="Arial" w:eastAsia="Times New Roman" w:hAnsi="Arial" w:cs="Arial"/>
        </w:rPr>
        <w:t>Newbigin</w:t>
      </w:r>
      <w:proofErr w:type="spellEnd"/>
      <w:r>
        <w:rPr>
          <w:rFonts w:ascii="Arial" w:eastAsia="Times New Roman" w:hAnsi="Arial" w:cs="Arial"/>
        </w:rPr>
        <w:t xml:space="preserve"> argued that the communication of the Gospel was no</w:t>
      </w:r>
      <w:r w:rsidR="001806A3">
        <w:rPr>
          <w:rFonts w:ascii="Arial" w:eastAsia="Times New Roman" w:hAnsi="Arial" w:cs="Arial"/>
        </w:rPr>
        <w:t xml:space="preserve">t possible without </w:t>
      </w:r>
      <w:r w:rsidR="006B5F18">
        <w:rPr>
          <w:rFonts w:ascii="Arial" w:eastAsia="Times New Roman" w:hAnsi="Arial" w:cs="Arial"/>
        </w:rPr>
        <w:t>being embodied</w:t>
      </w:r>
      <w:r>
        <w:rPr>
          <w:rFonts w:ascii="Arial" w:eastAsia="Times New Roman" w:hAnsi="Arial" w:cs="Arial"/>
        </w:rPr>
        <w:t xml:space="preserve"> with</w:t>
      </w:r>
      <w:r w:rsidR="003C0C72">
        <w:rPr>
          <w:rFonts w:ascii="Arial" w:eastAsia="Times New Roman" w:hAnsi="Arial" w:cs="Arial"/>
        </w:rPr>
        <w:t>in</w:t>
      </w:r>
      <w:r>
        <w:rPr>
          <w:rFonts w:ascii="Arial" w:eastAsia="Times New Roman" w:hAnsi="Arial" w:cs="Arial"/>
        </w:rPr>
        <w:t xml:space="preserve"> the culture </w:t>
      </w:r>
      <w:r w:rsidR="003C0C72">
        <w:rPr>
          <w:rFonts w:ascii="Arial" w:eastAsia="Times New Roman" w:hAnsi="Arial" w:cs="Arial"/>
        </w:rPr>
        <w:t>of a particular people, place and time.</w:t>
      </w:r>
      <w:r w:rsidR="00701089">
        <w:rPr>
          <w:rStyle w:val="FootnoteReference"/>
          <w:rFonts w:ascii="Arial" w:eastAsia="Times New Roman" w:hAnsi="Arial" w:cs="Arial"/>
        </w:rPr>
        <w:footnoteReference w:id="1"/>
      </w:r>
      <w:r w:rsidR="003C0C72">
        <w:rPr>
          <w:rFonts w:ascii="Arial" w:eastAsia="Times New Roman" w:hAnsi="Arial" w:cs="Arial"/>
        </w:rPr>
        <w:t xml:space="preserve"> </w:t>
      </w:r>
      <w:r w:rsidR="006B5F18">
        <w:rPr>
          <w:rFonts w:ascii="Arial" w:eastAsia="Times New Roman" w:hAnsi="Arial" w:cs="Arial"/>
        </w:rPr>
        <w:t>T</w:t>
      </w:r>
      <w:r w:rsidR="00F01C8E">
        <w:rPr>
          <w:rFonts w:ascii="Arial" w:eastAsia="Times New Roman" w:hAnsi="Arial" w:cs="Arial"/>
        </w:rPr>
        <w:t xml:space="preserve">he church is a missionary </w:t>
      </w:r>
      <w:r w:rsidR="00973FA5">
        <w:rPr>
          <w:rFonts w:ascii="Arial" w:eastAsia="Times New Roman" w:hAnsi="Arial" w:cs="Arial"/>
        </w:rPr>
        <w:t>community</w:t>
      </w:r>
      <w:r w:rsidR="00F01C8E">
        <w:rPr>
          <w:rFonts w:ascii="Arial" w:eastAsia="Times New Roman" w:hAnsi="Arial" w:cs="Arial"/>
        </w:rPr>
        <w:t xml:space="preserve"> </w:t>
      </w:r>
      <w:r w:rsidR="00E63643">
        <w:rPr>
          <w:rFonts w:ascii="Arial" w:eastAsia="Times New Roman" w:hAnsi="Arial" w:cs="Arial"/>
        </w:rPr>
        <w:t xml:space="preserve">that </w:t>
      </w:r>
      <w:r w:rsidR="00973FA5">
        <w:rPr>
          <w:rFonts w:ascii="Arial" w:eastAsia="Times New Roman" w:hAnsi="Arial" w:cs="Arial"/>
        </w:rPr>
        <w:t>looks both to the culture around it and to Lord whose mission it is</w:t>
      </w:r>
      <w:r w:rsidR="00F01C8E">
        <w:rPr>
          <w:rFonts w:ascii="Arial" w:eastAsia="Times New Roman" w:hAnsi="Arial" w:cs="Arial"/>
        </w:rPr>
        <w:t>:</w:t>
      </w:r>
      <w:r w:rsidR="003D48BA">
        <w:rPr>
          <w:rFonts w:ascii="Arial" w:eastAsia="Times New Roman" w:hAnsi="Arial" w:cs="Arial"/>
        </w:rPr>
        <w:t xml:space="preserve"> </w:t>
      </w:r>
    </w:p>
    <w:p w14:paraId="090937D7" w14:textId="0BF3C88C" w:rsidR="003D48BA" w:rsidRPr="003D48BA" w:rsidRDefault="003D48BA" w:rsidP="003D48BA">
      <w:pPr>
        <w:spacing w:line="360" w:lineRule="auto"/>
        <w:ind w:left="720"/>
        <w:jc w:val="both"/>
        <w:rPr>
          <w:rFonts w:ascii="Arial" w:hAnsi="Arial" w:cs="Arial"/>
          <w:lang w:val="en-GB"/>
        </w:rPr>
      </w:pPr>
      <w:r>
        <w:rPr>
          <w:rFonts w:ascii="Arial" w:hAnsi="Arial" w:cs="Arial"/>
          <w:lang w:val="en-GB"/>
        </w:rPr>
        <w:t>“</w:t>
      </w:r>
      <w:r w:rsidRPr="003D48BA">
        <w:rPr>
          <w:rFonts w:ascii="Arial" w:hAnsi="Arial" w:cs="Arial"/>
          <w:lang w:val="en-GB"/>
        </w:rPr>
        <w:t>True contextualisation happens when there is a community that lives faithfully by the gospel and in that same costly identification with people in their real situations as we see in the earthly ministry of Jesus. When these conditions are met, the sovereign Spirit of God doe</w:t>
      </w:r>
      <w:r>
        <w:rPr>
          <w:rFonts w:ascii="Arial" w:hAnsi="Arial" w:cs="Arial"/>
          <w:lang w:val="en-GB"/>
        </w:rPr>
        <w:t>s his own surprising work.”</w:t>
      </w:r>
      <w:r>
        <w:rPr>
          <w:rStyle w:val="FootnoteReference"/>
          <w:rFonts w:ascii="Arial" w:hAnsi="Arial" w:cs="Arial"/>
          <w:lang w:val="en-GB"/>
        </w:rPr>
        <w:footnoteReference w:id="2"/>
      </w:r>
      <w:r w:rsidRPr="003D48BA">
        <w:rPr>
          <w:rFonts w:ascii="Arial" w:hAnsi="Arial" w:cs="Arial"/>
          <w:lang w:val="en-GB"/>
        </w:rPr>
        <w:t xml:space="preserve">  </w:t>
      </w:r>
    </w:p>
    <w:p w14:paraId="43840F87" w14:textId="2C947636" w:rsidR="00701089" w:rsidRDefault="00184165" w:rsidP="00BC6B27">
      <w:pPr>
        <w:spacing w:line="360" w:lineRule="auto"/>
        <w:jc w:val="both"/>
        <w:rPr>
          <w:rFonts w:ascii="Arial" w:eastAsia="Times New Roman" w:hAnsi="Arial" w:cs="Arial"/>
        </w:rPr>
      </w:pPr>
      <w:r>
        <w:rPr>
          <w:rFonts w:ascii="Arial" w:eastAsia="Times New Roman" w:hAnsi="Arial" w:cs="Arial"/>
        </w:rPr>
        <w:t>Thus,</w:t>
      </w:r>
      <w:r w:rsidR="003C0C72">
        <w:rPr>
          <w:rFonts w:ascii="Arial" w:eastAsia="Times New Roman" w:hAnsi="Arial" w:cs="Arial"/>
        </w:rPr>
        <w:t xml:space="preserve"> he held as equally axiomatic that t</w:t>
      </w:r>
      <w:r w:rsidR="007D6987">
        <w:rPr>
          <w:rFonts w:ascii="Arial" w:eastAsia="Times New Roman" w:hAnsi="Arial" w:cs="Arial"/>
        </w:rPr>
        <w:t>he Gospel was not</w:t>
      </w:r>
      <w:r w:rsidR="003C0C72">
        <w:rPr>
          <w:rFonts w:ascii="Arial" w:eastAsia="Times New Roman" w:hAnsi="Arial" w:cs="Arial"/>
        </w:rPr>
        <w:t xml:space="preserve"> (could not be)</w:t>
      </w:r>
      <w:r w:rsidR="007D6987">
        <w:rPr>
          <w:rFonts w:ascii="Arial" w:eastAsia="Times New Roman" w:hAnsi="Arial" w:cs="Arial"/>
        </w:rPr>
        <w:t xml:space="preserve"> con</w:t>
      </w:r>
      <w:r w:rsidR="00701089">
        <w:rPr>
          <w:rFonts w:ascii="Arial" w:eastAsia="Times New Roman" w:hAnsi="Arial" w:cs="Arial"/>
        </w:rPr>
        <w:t>s</w:t>
      </w:r>
      <w:r w:rsidR="007D6987">
        <w:rPr>
          <w:rFonts w:ascii="Arial" w:eastAsia="Times New Roman" w:hAnsi="Arial" w:cs="Arial"/>
        </w:rPr>
        <w:t>trained or contained by this</w:t>
      </w:r>
      <w:r w:rsidR="003C0C72">
        <w:rPr>
          <w:rFonts w:ascii="Arial" w:eastAsia="Times New Roman" w:hAnsi="Arial" w:cs="Arial"/>
        </w:rPr>
        <w:t xml:space="preserve"> </w:t>
      </w:r>
      <w:r w:rsidR="00973FA5">
        <w:rPr>
          <w:rFonts w:ascii="Arial" w:eastAsia="Times New Roman" w:hAnsi="Arial" w:cs="Arial"/>
        </w:rPr>
        <w:t xml:space="preserve">cultural </w:t>
      </w:r>
      <w:r w:rsidR="003C0C72">
        <w:rPr>
          <w:rFonts w:ascii="Arial" w:eastAsia="Times New Roman" w:hAnsi="Arial" w:cs="Arial"/>
        </w:rPr>
        <w:t xml:space="preserve">embodiment. For </w:t>
      </w:r>
      <w:proofErr w:type="spellStart"/>
      <w:r w:rsidR="003C0C72">
        <w:rPr>
          <w:rFonts w:ascii="Arial" w:eastAsia="Times New Roman" w:hAnsi="Arial" w:cs="Arial"/>
        </w:rPr>
        <w:t>Newb</w:t>
      </w:r>
      <w:r w:rsidR="00973FA5">
        <w:rPr>
          <w:rFonts w:ascii="Arial" w:eastAsia="Times New Roman" w:hAnsi="Arial" w:cs="Arial"/>
        </w:rPr>
        <w:t>igin</w:t>
      </w:r>
      <w:proofErr w:type="spellEnd"/>
      <w:r w:rsidR="00973FA5">
        <w:rPr>
          <w:rFonts w:ascii="Arial" w:eastAsia="Times New Roman" w:hAnsi="Arial" w:cs="Arial"/>
        </w:rPr>
        <w:t>, the</w:t>
      </w:r>
      <w:r w:rsidR="00983A53">
        <w:rPr>
          <w:rFonts w:ascii="Arial" w:eastAsia="Times New Roman" w:hAnsi="Arial" w:cs="Arial"/>
        </w:rPr>
        <w:t>re is a proper tension here, but not a contradiction.</w:t>
      </w:r>
      <w:r w:rsidR="00983A53">
        <w:rPr>
          <w:rStyle w:val="FootnoteReference"/>
          <w:rFonts w:ascii="Arial" w:eastAsia="Times New Roman" w:hAnsi="Arial" w:cs="Arial"/>
        </w:rPr>
        <w:footnoteReference w:id="3"/>
      </w:r>
      <w:r w:rsidR="00983A53">
        <w:rPr>
          <w:rFonts w:ascii="Arial" w:eastAsia="Times New Roman" w:hAnsi="Arial" w:cs="Arial"/>
        </w:rPr>
        <w:t xml:space="preserve"> This is because </w:t>
      </w:r>
      <w:r w:rsidR="003C0C72">
        <w:rPr>
          <w:rFonts w:ascii="Arial" w:eastAsia="Times New Roman" w:hAnsi="Arial" w:cs="Arial"/>
        </w:rPr>
        <w:t xml:space="preserve">mission </w:t>
      </w:r>
      <w:r w:rsidR="00983A53">
        <w:rPr>
          <w:rFonts w:ascii="Arial" w:eastAsia="Times New Roman" w:hAnsi="Arial" w:cs="Arial"/>
        </w:rPr>
        <w:t xml:space="preserve">is not </w:t>
      </w:r>
      <w:r w:rsidR="003C0C72">
        <w:rPr>
          <w:rFonts w:ascii="Arial" w:eastAsia="Times New Roman" w:hAnsi="Arial" w:cs="Arial"/>
        </w:rPr>
        <w:t xml:space="preserve">a separate movement to the Gospel </w:t>
      </w:r>
      <w:r w:rsidR="00701089">
        <w:rPr>
          <w:rFonts w:ascii="Arial" w:eastAsia="Times New Roman" w:hAnsi="Arial" w:cs="Arial"/>
        </w:rPr>
        <w:t>but rather integral to it.</w:t>
      </w:r>
      <w:r w:rsidR="00D978A9">
        <w:rPr>
          <w:rStyle w:val="FootnoteReference"/>
          <w:rFonts w:ascii="Arial" w:eastAsia="Times New Roman" w:hAnsi="Arial" w:cs="Arial"/>
        </w:rPr>
        <w:footnoteReference w:id="4"/>
      </w:r>
      <w:r w:rsidR="00701089">
        <w:rPr>
          <w:rFonts w:ascii="Arial" w:eastAsia="Times New Roman" w:hAnsi="Arial" w:cs="Arial"/>
        </w:rPr>
        <w:t xml:space="preserve"> </w:t>
      </w:r>
      <w:r w:rsidR="00385E81">
        <w:rPr>
          <w:rFonts w:ascii="Arial" w:eastAsia="Times New Roman" w:hAnsi="Arial" w:cs="Arial"/>
        </w:rPr>
        <w:t xml:space="preserve">I shall argue that this </w:t>
      </w:r>
      <w:r w:rsidR="0062610F">
        <w:rPr>
          <w:rFonts w:ascii="Arial" w:eastAsia="Times New Roman" w:hAnsi="Arial" w:cs="Arial"/>
        </w:rPr>
        <w:t xml:space="preserve">is </w:t>
      </w:r>
      <w:r w:rsidR="00385E81">
        <w:rPr>
          <w:rFonts w:ascii="Arial" w:eastAsia="Times New Roman" w:hAnsi="Arial" w:cs="Arial"/>
        </w:rPr>
        <w:t xml:space="preserve">crucial point </w:t>
      </w:r>
      <w:r w:rsidR="0062610F">
        <w:rPr>
          <w:rFonts w:ascii="Arial" w:eastAsia="Times New Roman" w:hAnsi="Arial" w:cs="Arial"/>
        </w:rPr>
        <w:t xml:space="preserve">because </w:t>
      </w:r>
      <w:proofErr w:type="spellStart"/>
      <w:r w:rsidR="00385E81">
        <w:rPr>
          <w:rFonts w:ascii="Arial" w:eastAsia="Times New Roman" w:hAnsi="Arial" w:cs="Arial"/>
        </w:rPr>
        <w:t>Newbigin</w:t>
      </w:r>
      <w:proofErr w:type="spellEnd"/>
      <w:r w:rsidR="00385E81">
        <w:rPr>
          <w:rFonts w:ascii="Arial" w:eastAsia="Times New Roman" w:hAnsi="Arial" w:cs="Arial"/>
        </w:rPr>
        <w:t xml:space="preserve"> is articulating a missiology</w:t>
      </w:r>
      <w:r w:rsidR="0062610F">
        <w:rPr>
          <w:rFonts w:ascii="Arial" w:eastAsia="Times New Roman" w:hAnsi="Arial" w:cs="Arial"/>
        </w:rPr>
        <w:t>/theology</w:t>
      </w:r>
      <w:r w:rsidR="00385E81">
        <w:rPr>
          <w:rFonts w:ascii="Arial" w:eastAsia="Times New Roman" w:hAnsi="Arial" w:cs="Arial"/>
        </w:rPr>
        <w:t xml:space="preserve"> in which </w:t>
      </w:r>
      <w:r w:rsidR="00701089">
        <w:rPr>
          <w:rFonts w:ascii="Arial" w:eastAsia="Times New Roman" w:hAnsi="Arial" w:cs="Arial"/>
        </w:rPr>
        <w:t xml:space="preserve">Christology and the doctrine of election are </w:t>
      </w:r>
      <w:proofErr w:type="spellStart"/>
      <w:r w:rsidR="00701089">
        <w:rPr>
          <w:rFonts w:ascii="Arial" w:eastAsia="Times New Roman" w:hAnsi="Arial" w:cs="Arial"/>
        </w:rPr>
        <w:t>coinherent</w:t>
      </w:r>
      <w:proofErr w:type="spellEnd"/>
      <w:r w:rsidR="00701089">
        <w:rPr>
          <w:rFonts w:ascii="Arial" w:eastAsia="Times New Roman" w:hAnsi="Arial" w:cs="Arial"/>
        </w:rPr>
        <w:t xml:space="preserve">. </w:t>
      </w:r>
    </w:p>
    <w:p w14:paraId="123E3728" w14:textId="77777777" w:rsidR="00701089" w:rsidRDefault="00701089" w:rsidP="00BC6B27">
      <w:pPr>
        <w:spacing w:line="360" w:lineRule="auto"/>
        <w:jc w:val="both"/>
        <w:rPr>
          <w:rFonts w:ascii="Arial" w:eastAsia="Times New Roman" w:hAnsi="Arial" w:cs="Arial"/>
        </w:rPr>
      </w:pPr>
    </w:p>
    <w:p w14:paraId="5A87B0EE" w14:textId="51585EF5" w:rsidR="00AF746D" w:rsidRDefault="00EB70A1" w:rsidP="00356CBA">
      <w:pPr>
        <w:spacing w:line="360" w:lineRule="auto"/>
        <w:jc w:val="both"/>
        <w:rPr>
          <w:rFonts w:ascii="Arial" w:eastAsia="Times New Roman" w:hAnsi="Arial" w:cs="Arial"/>
        </w:rPr>
      </w:pPr>
      <w:r>
        <w:rPr>
          <w:rFonts w:ascii="Arial" w:eastAsia="Times New Roman" w:hAnsi="Arial" w:cs="Arial"/>
        </w:rPr>
        <w:t xml:space="preserve">In the first five chapters of the book, </w:t>
      </w:r>
      <w:proofErr w:type="spellStart"/>
      <w:r>
        <w:rPr>
          <w:rFonts w:ascii="Arial" w:eastAsia="Times New Roman" w:hAnsi="Arial" w:cs="Arial"/>
        </w:rPr>
        <w:t>Newbigin</w:t>
      </w:r>
      <w:proofErr w:type="spellEnd"/>
      <w:r>
        <w:rPr>
          <w:rFonts w:ascii="Arial" w:eastAsia="Times New Roman" w:hAnsi="Arial" w:cs="Arial"/>
        </w:rPr>
        <w:t xml:space="preserve"> questions the epistemological assumptions </w:t>
      </w:r>
      <w:r w:rsidR="0010177F">
        <w:rPr>
          <w:rFonts w:ascii="Arial" w:eastAsia="Times New Roman" w:hAnsi="Arial" w:cs="Arial"/>
        </w:rPr>
        <w:t>of late modernity and its</w:t>
      </w:r>
      <w:r>
        <w:rPr>
          <w:rFonts w:ascii="Arial" w:eastAsia="Times New Roman" w:hAnsi="Arial" w:cs="Arial"/>
        </w:rPr>
        <w:t xml:space="preserve"> impact upon theology and mission. </w:t>
      </w:r>
      <w:r w:rsidR="0068387D">
        <w:rPr>
          <w:rFonts w:ascii="Arial" w:eastAsia="Times New Roman" w:hAnsi="Arial" w:cs="Arial"/>
        </w:rPr>
        <w:t xml:space="preserve">This </w:t>
      </w:r>
      <w:r w:rsidR="00636BF3">
        <w:rPr>
          <w:rFonts w:ascii="Arial" w:eastAsia="Times New Roman" w:hAnsi="Arial" w:cs="Arial"/>
        </w:rPr>
        <w:t xml:space="preserve">could be portrayed as </w:t>
      </w:r>
      <w:r w:rsidR="0010177F">
        <w:rPr>
          <w:rFonts w:ascii="Arial" w:eastAsia="Times New Roman" w:hAnsi="Arial" w:cs="Arial"/>
        </w:rPr>
        <w:t>a</w:t>
      </w:r>
      <w:r w:rsidR="00095D75">
        <w:rPr>
          <w:rFonts w:ascii="Arial" w:eastAsia="Times New Roman" w:hAnsi="Arial" w:cs="Arial"/>
        </w:rPr>
        <w:t xml:space="preserve"> ‘</w:t>
      </w:r>
      <w:r w:rsidR="0037572A">
        <w:rPr>
          <w:rFonts w:ascii="Arial" w:eastAsia="Times New Roman" w:hAnsi="Arial" w:cs="Arial"/>
        </w:rPr>
        <w:t>prolegomena’, clearing ground and laying foundations upon which to build theology</w:t>
      </w:r>
      <w:r w:rsidR="00636BF3">
        <w:rPr>
          <w:rFonts w:ascii="Arial" w:eastAsia="Times New Roman" w:hAnsi="Arial" w:cs="Arial"/>
        </w:rPr>
        <w:t>, b</w:t>
      </w:r>
      <w:r w:rsidR="0068387D">
        <w:rPr>
          <w:rFonts w:ascii="Arial" w:eastAsia="Times New Roman" w:hAnsi="Arial" w:cs="Arial"/>
        </w:rPr>
        <w:t>ut</w:t>
      </w:r>
      <w:r w:rsidR="002855EB">
        <w:rPr>
          <w:rFonts w:ascii="Arial" w:eastAsia="Times New Roman" w:hAnsi="Arial" w:cs="Arial"/>
        </w:rPr>
        <w:t xml:space="preserve"> </w:t>
      </w:r>
      <w:proofErr w:type="spellStart"/>
      <w:r w:rsidR="0068387D">
        <w:rPr>
          <w:rFonts w:ascii="Arial" w:eastAsia="Times New Roman" w:hAnsi="Arial" w:cs="Arial"/>
        </w:rPr>
        <w:t>Newbigin</w:t>
      </w:r>
      <w:r w:rsidR="00636BF3">
        <w:rPr>
          <w:rFonts w:ascii="Arial" w:eastAsia="Times New Roman" w:hAnsi="Arial" w:cs="Arial"/>
        </w:rPr>
        <w:t>’s</w:t>
      </w:r>
      <w:proofErr w:type="spellEnd"/>
      <w:r w:rsidR="00636BF3">
        <w:rPr>
          <w:rFonts w:ascii="Arial" w:eastAsia="Times New Roman" w:hAnsi="Arial" w:cs="Arial"/>
        </w:rPr>
        <w:t xml:space="preserve"> intention is to show that </w:t>
      </w:r>
      <w:r w:rsidR="0068387D">
        <w:rPr>
          <w:rFonts w:ascii="Arial" w:eastAsia="Times New Roman" w:hAnsi="Arial" w:cs="Arial"/>
        </w:rPr>
        <w:t>the gospel – the actual historical life, death and resurrection of Jesus</w:t>
      </w:r>
      <w:r w:rsidR="00636BF3">
        <w:rPr>
          <w:rFonts w:ascii="Arial" w:eastAsia="Times New Roman" w:hAnsi="Arial" w:cs="Arial"/>
        </w:rPr>
        <w:t xml:space="preserve"> –</w:t>
      </w:r>
      <w:r w:rsidR="00AF1076">
        <w:rPr>
          <w:rFonts w:ascii="Arial" w:eastAsia="Times New Roman" w:hAnsi="Arial" w:cs="Arial"/>
        </w:rPr>
        <w:t xml:space="preserve"> establishes</w:t>
      </w:r>
      <w:r w:rsidR="00636BF3">
        <w:rPr>
          <w:rFonts w:ascii="Arial" w:eastAsia="Times New Roman" w:hAnsi="Arial" w:cs="Arial"/>
        </w:rPr>
        <w:t xml:space="preserve"> a rationality </w:t>
      </w:r>
      <w:r w:rsidR="000F57CD">
        <w:rPr>
          <w:rFonts w:ascii="Arial" w:eastAsia="Times New Roman" w:hAnsi="Arial" w:cs="Arial"/>
        </w:rPr>
        <w:t xml:space="preserve">that cannot be judged by </w:t>
      </w:r>
      <w:r w:rsidR="00B9465D">
        <w:rPr>
          <w:rFonts w:ascii="Arial" w:eastAsia="Times New Roman" w:hAnsi="Arial" w:cs="Arial"/>
        </w:rPr>
        <w:t>the perceived</w:t>
      </w:r>
      <w:r w:rsidR="00636BF3">
        <w:rPr>
          <w:rFonts w:ascii="Arial" w:eastAsia="Times New Roman" w:hAnsi="Arial" w:cs="Arial"/>
        </w:rPr>
        <w:t xml:space="preserve"> </w:t>
      </w:r>
      <w:r w:rsidR="00B9465D">
        <w:rPr>
          <w:rFonts w:ascii="Arial" w:eastAsia="Times New Roman" w:hAnsi="Arial" w:cs="Arial"/>
        </w:rPr>
        <w:t>independent</w:t>
      </w:r>
      <w:r w:rsidR="000F57CD">
        <w:rPr>
          <w:rFonts w:ascii="Arial" w:eastAsia="Times New Roman" w:hAnsi="Arial" w:cs="Arial"/>
        </w:rPr>
        <w:t xml:space="preserve"> critical </w:t>
      </w:r>
      <w:r w:rsidR="00AF1076">
        <w:rPr>
          <w:rFonts w:ascii="Arial" w:eastAsia="Times New Roman" w:hAnsi="Arial" w:cs="Arial"/>
        </w:rPr>
        <w:t xml:space="preserve">framework provided by </w:t>
      </w:r>
      <w:r w:rsidR="00A979FD">
        <w:rPr>
          <w:rFonts w:ascii="Arial" w:eastAsia="Times New Roman" w:hAnsi="Arial" w:cs="Arial"/>
        </w:rPr>
        <w:t xml:space="preserve">philosophy and </w:t>
      </w:r>
      <w:r w:rsidR="00AF1076">
        <w:rPr>
          <w:rFonts w:ascii="Arial" w:eastAsia="Times New Roman" w:hAnsi="Arial" w:cs="Arial"/>
        </w:rPr>
        <w:t>the</w:t>
      </w:r>
      <w:r w:rsidR="00A979FD">
        <w:rPr>
          <w:rFonts w:ascii="Arial" w:eastAsia="Times New Roman" w:hAnsi="Arial" w:cs="Arial"/>
        </w:rPr>
        <w:t xml:space="preserve"> natural sciences</w:t>
      </w:r>
      <w:r w:rsidR="00C91E7F">
        <w:rPr>
          <w:rFonts w:ascii="Arial" w:eastAsia="Times New Roman" w:hAnsi="Arial" w:cs="Arial"/>
        </w:rPr>
        <w:t xml:space="preserve">. </w:t>
      </w:r>
      <w:r w:rsidR="00B9465D">
        <w:rPr>
          <w:rFonts w:ascii="Arial" w:eastAsia="Times New Roman" w:hAnsi="Arial" w:cs="Arial"/>
        </w:rPr>
        <w:t>T</w:t>
      </w:r>
      <w:r w:rsidR="00E42D78">
        <w:rPr>
          <w:rFonts w:ascii="Arial" w:eastAsia="Times New Roman" w:hAnsi="Arial" w:cs="Arial"/>
        </w:rPr>
        <w:t xml:space="preserve">he Christian cannot and should not </w:t>
      </w:r>
      <w:r w:rsidR="00DE6C91">
        <w:rPr>
          <w:rFonts w:ascii="Arial" w:eastAsia="Times New Roman" w:hAnsi="Arial" w:cs="Arial"/>
        </w:rPr>
        <w:t xml:space="preserve">ever </w:t>
      </w:r>
      <w:r w:rsidR="00E42D78">
        <w:rPr>
          <w:rFonts w:ascii="Arial" w:eastAsia="Times New Roman" w:hAnsi="Arial" w:cs="Arial"/>
        </w:rPr>
        <w:t xml:space="preserve">naïvely </w:t>
      </w:r>
      <w:r w:rsidR="00DE6C91">
        <w:rPr>
          <w:rFonts w:ascii="Arial" w:eastAsia="Times New Roman" w:hAnsi="Arial" w:cs="Arial"/>
        </w:rPr>
        <w:t>claim that the truth claims of the gospel are not open to critical thought.</w:t>
      </w:r>
      <w:r w:rsidR="00B9465D">
        <w:rPr>
          <w:rFonts w:ascii="Arial" w:eastAsia="Times New Roman" w:hAnsi="Arial" w:cs="Arial"/>
        </w:rPr>
        <w:t xml:space="preserve"> Rather, the argument </w:t>
      </w:r>
      <w:proofErr w:type="spellStart"/>
      <w:r w:rsidR="00B9465D">
        <w:rPr>
          <w:rFonts w:ascii="Arial" w:eastAsia="Times New Roman" w:hAnsi="Arial" w:cs="Arial"/>
        </w:rPr>
        <w:t>Newbigin</w:t>
      </w:r>
      <w:proofErr w:type="spellEnd"/>
      <w:r w:rsidR="00B9465D">
        <w:rPr>
          <w:rFonts w:ascii="Arial" w:eastAsia="Times New Roman" w:hAnsi="Arial" w:cs="Arial"/>
        </w:rPr>
        <w:t xml:space="preserve"> is making is that </w:t>
      </w:r>
      <w:r w:rsidR="00B9465D" w:rsidRPr="00B9465D">
        <w:rPr>
          <w:rFonts w:ascii="Arial" w:eastAsia="Times New Roman" w:hAnsi="Arial" w:cs="Arial"/>
          <w:i/>
        </w:rPr>
        <w:t>all</w:t>
      </w:r>
      <w:r w:rsidR="00DE6C91">
        <w:rPr>
          <w:rFonts w:ascii="Arial" w:eastAsia="Times New Roman" w:hAnsi="Arial" w:cs="Arial"/>
        </w:rPr>
        <w:t xml:space="preserve"> </w:t>
      </w:r>
      <w:r w:rsidR="00B9465D">
        <w:rPr>
          <w:rFonts w:ascii="Arial" w:eastAsia="Times New Roman" w:hAnsi="Arial" w:cs="Arial"/>
        </w:rPr>
        <w:t>critical reason, rationality, is only possible within fiduciary frameworks that we must commit ourselves to personally in order to understand and find meaning in the created order and the events of history.</w:t>
      </w:r>
      <w:r w:rsidR="00F8471B">
        <w:rPr>
          <w:rStyle w:val="FootnoteReference"/>
          <w:rFonts w:ascii="Arial" w:eastAsia="Times New Roman" w:hAnsi="Arial" w:cs="Arial"/>
        </w:rPr>
        <w:footnoteReference w:id="5"/>
      </w:r>
      <w:r w:rsidR="00B9465D">
        <w:rPr>
          <w:rFonts w:ascii="Arial" w:eastAsia="Times New Roman" w:hAnsi="Arial" w:cs="Arial"/>
        </w:rPr>
        <w:t xml:space="preserve"> T</w:t>
      </w:r>
      <w:r w:rsidR="00DE6C91">
        <w:rPr>
          <w:rFonts w:ascii="Arial" w:eastAsia="Times New Roman" w:hAnsi="Arial" w:cs="Arial"/>
        </w:rPr>
        <w:t>he central myth of modernity is that rationality is somehow self-evidencing within the natural order and accessible without our personal commitment to beliefs that create the framework for critical thought; the dictum ‘I believe in order to know/understand’ is reversed creating an illusion of autonomous reason t</w:t>
      </w:r>
      <w:r w:rsidR="00B9465D">
        <w:rPr>
          <w:rFonts w:ascii="Arial" w:eastAsia="Times New Roman" w:hAnsi="Arial" w:cs="Arial"/>
        </w:rPr>
        <w:t xml:space="preserve">hat determines faith and the meaning of </w:t>
      </w:r>
      <w:r w:rsidR="00DE6C91">
        <w:rPr>
          <w:rFonts w:ascii="Arial" w:eastAsia="Times New Roman" w:hAnsi="Arial" w:cs="Arial"/>
        </w:rPr>
        <w:t>the events of history.</w:t>
      </w:r>
      <w:r w:rsidR="00B9465D">
        <w:rPr>
          <w:rFonts w:ascii="Arial" w:eastAsia="Times New Roman" w:hAnsi="Arial" w:cs="Arial"/>
        </w:rPr>
        <w:t xml:space="preserve"> </w:t>
      </w:r>
      <w:r w:rsidR="0073201B">
        <w:rPr>
          <w:rFonts w:ascii="Arial" w:eastAsia="Times New Roman" w:hAnsi="Arial" w:cs="Arial"/>
        </w:rPr>
        <w:t xml:space="preserve">For </w:t>
      </w:r>
      <w:proofErr w:type="spellStart"/>
      <w:r w:rsidR="00A979FD">
        <w:rPr>
          <w:rFonts w:ascii="Arial" w:eastAsia="Times New Roman" w:hAnsi="Arial" w:cs="Arial"/>
        </w:rPr>
        <w:t>Newbigin</w:t>
      </w:r>
      <w:proofErr w:type="spellEnd"/>
      <w:r w:rsidR="00A31092">
        <w:rPr>
          <w:rFonts w:ascii="Arial" w:eastAsia="Times New Roman" w:hAnsi="Arial" w:cs="Arial"/>
        </w:rPr>
        <w:t xml:space="preserve">, </w:t>
      </w:r>
      <w:r w:rsidR="00C876D8">
        <w:rPr>
          <w:rFonts w:ascii="Arial" w:eastAsia="Times New Roman" w:hAnsi="Arial" w:cs="Arial"/>
        </w:rPr>
        <w:t xml:space="preserve">the </w:t>
      </w:r>
      <w:r w:rsidR="00A31092">
        <w:rPr>
          <w:rFonts w:ascii="Arial" w:eastAsia="Times New Roman" w:hAnsi="Arial" w:cs="Arial"/>
        </w:rPr>
        <w:t>unquestioned assumption “that historical events are not a source of ultimate truth”</w:t>
      </w:r>
      <w:r w:rsidR="000B1521">
        <w:rPr>
          <w:rStyle w:val="FootnoteReference"/>
          <w:rFonts w:ascii="Arial" w:eastAsia="Times New Roman" w:hAnsi="Arial" w:cs="Arial"/>
        </w:rPr>
        <w:footnoteReference w:id="6"/>
      </w:r>
      <w:r w:rsidR="00A31092">
        <w:rPr>
          <w:rFonts w:ascii="Arial" w:eastAsia="Times New Roman" w:hAnsi="Arial" w:cs="Arial"/>
        </w:rPr>
        <w:t xml:space="preserve"> </w:t>
      </w:r>
      <w:r w:rsidR="000B1521">
        <w:rPr>
          <w:rFonts w:ascii="Arial" w:eastAsia="Times New Roman" w:hAnsi="Arial" w:cs="Arial"/>
        </w:rPr>
        <w:t>(with origins well before modern theology</w:t>
      </w:r>
      <w:r w:rsidR="00866492">
        <w:rPr>
          <w:rFonts w:ascii="Arial" w:eastAsia="Times New Roman" w:hAnsi="Arial" w:cs="Arial"/>
        </w:rPr>
        <w:t xml:space="preserve">) was the initial divergence point that disastrously separates the rationality of the gospel from the </w:t>
      </w:r>
      <w:r w:rsidR="00A31092">
        <w:rPr>
          <w:rFonts w:ascii="Arial" w:eastAsia="Times New Roman" w:hAnsi="Arial" w:cs="Arial"/>
        </w:rPr>
        <w:t xml:space="preserve">autonomous rationality </w:t>
      </w:r>
      <w:r w:rsidR="001C5BA2">
        <w:rPr>
          <w:rFonts w:ascii="Arial" w:eastAsia="Times New Roman" w:hAnsi="Arial" w:cs="Arial"/>
        </w:rPr>
        <w:t xml:space="preserve">perceived to be discoverable </w:t>
      </w:r>
      <w:r w:rsidR="00A31092">
        <w:rPr>
          <w:rFonts w:ascii="Arial" w:eastAsia="Times New Roman" w:hAnsi="Arial" w:cs="Arial"/>
        </w:rPr>
        <w:t>in the universe.</w:t>
      </w:r>
      <w:r w:rsidR="00866492">
        <w:rPr>
          <w:rStyle w:val="FootnoteReference"/>
          <w:rFonts w:ascii="Arial" w:eastAsia="Times New Roman" w:hAnsi="Arial" w:cs="Arial"/>
        </w:rPr>
        <w:footnoteReference w:id="7"/>
      </w:r>
      <w:r w:rsidR="001C5BA2">
        <w:rPr>
          <w:rFonts w:ascii="Arial" w:eastAsia="Times New Roman" w:hAnsi="Arial" w:cs="Arial"/>
        </w:rPr>
        <w:t xml:space="preserve"> </w:t>
      </w:r>
      <w:proofErr w:type="spellStart"/>
      <w:r w:rsidR="00471BCC">
        <w:rPr>
          <w:rFonts w:ascii="Arial" w:eastAsia="Times New Roman" w:hAnsi="Arial" w:cs="Arial"/>
        </w:rPr>
        <w:t>Newbigin</w:t>
      </w:r>
      <w:proofErr w:type="spellEnd"/>
      <w:r w:rsidR="00471BCC">
        <w:rPr>
          <w:rFonts w:ascii="Arial" w:eastAsia="Times New Roman" w:hAnsi="Arial" w:cs="Arial"/>
        </w:rPr>
        <w:t xml:space="preserve"> charts the steps in this divergence and its effects.</w:t>
      </w:r>
      <w:r w:rsidR="00081EFB">
        <w:rPr>
          <w:rFonts w:ascii="Arial" w:eastAsia="Times New Roman" w:hAnsi="Arial" w:cs="Arial"/>
        </w:rPr>
        <w:t xml:space="preserve"> </w:t>
      </w:r>
    </w:p>
    <w:p w14:paraId="457269F9" w14:textId="77777777" w:rsidR="00AF746D" w:rsidRDefault="00AF746D" w:rsidP="00356CBA">
      <w:pPr>
        <w:spacing w:line="360" w:lineRule="auto"/>
        <w:jc w:val="both"/>
        <w:rPr>
          <w:rFonts w:ascii="Arial" w:eastAsia="Times New Roman" w:hAnsi="Arial" w:cs="Arial"/>
        </w:rPr>
      </w:pPr>
    </w:p>
    <w:p w14:paraId="29B852C1" w14:textId="70DC2EAB" w:rsidR="000604DF" w:rsidRDefault="00AF746D" w:rsidP="00356CBA">
      <w:pPr>
        <w:spacing w:line="360" w:lineRule="auto"/>
        <w:jc w:val="both"/>
        <w:rPr>
          <w:rFonts w:ascii="Arial" w:eastAsia="Times New Roman" w:hAnsi="Arial" w:cs="Arial"/>
        </w:rPr>
      </w:pPr>
      <w:proofErr w:type="spellStart"/>
      <w:r>
        <w:rPr>
          <w:rFonts w:ascii="Arial" w:eastAsia="Times New Roman" w:hAnsi="Arial" w:cs="Arial"/>
        </w:rPr>
        <w:t>Newbigin’s</w:t>
      </w:r>
      <w:proofErr w:type="spellEnd"/>
      <w:r>
        <w:rPr>
          <w:rFonts w:ascii="Arial" w:eastAsia="Times New Roman" w:hAnsi="Arial" w:cs="Arial"/>
        </w:rPr>
        <w:t xml:space="preserve"> starting-</w:t>
      </w:r>
      <w:r w:rsidR="00202380">
        <w:rPr>
          <w:rFonts w:ascii="Arial" w:eastAsia="Times New Roman" w:hAnsi="Arial" w:cs="Arial"/>
        </w:rPr>
        <w:t>point appears that it might imply an underlying ‘positivistic’ epistemology (I hope to show that this is not the case)</w:t>
      </w:r>
      <w:r w:rsidR="000604DF">
        <w:rPr>
          <w:rFonts w:ascii="Arial" w:eastAsia="Times New Roman" w:hAnsi="Arial" w:cs="Arial"/>
        </w:rPr>
        <w:t xml:space="preserve">: </w:t>
      </w:r>
    </w:p>
    <w:p w14:paraId="26614982" w14:textId="77777777" w:rsidR="001964A7" w:rsidRDefault="00CB00F1" w:rsidP="001964A7">
      <w:pPr>
        <w:spacing w:line="360" w:lineRule="auto"/>
        <w:ind w:left="720"/>
        <w:jc w:val="both"/>
        <w:rPr>
          <w:rFonts w:ascii="Arial" w:eastAsia="Times New Roman" w:hAnsi="Arial" w:cs="Arial"/>
        </w:rPr>
      </w:pPr>
      <w:r>
        <w:rPr>
          <w:rFonts w:ascii="Arial" w:eastAsia="Times New Roman" w:hAnsi="Arial" w:cs="Arial"/>
        </w:rPr>
        <w:t>“Christianity began</w:t>
      </w:r>
      <w:r w:rsidR="003D63CF">
        <w:rPr>
          <w:rFonts w:ascii="Arial" w:eastAsia="Times New Roman" w:hAnsi="Arial" w:cs="Arial"/>
        </w:rPr>
        <w:t xml:space="preserve"> with the proclamation of something authoritatively given. Paul presents himself </w:t>
      </w:r>
      <w:r w:rsidRPr="00CB00F1">
        <w:rPr>
          <w:rFonts w:ascii="Arial" w:eastAsia="Times New Roman" w:hAnsi="Arial" w:cs="Arial"/>
        </w:rPr>
        <w:t>not as the teacher of a new theology but as the messenger commissioned by the authority of the Lord himself to announce a new fact — namely that in the ministry, death, and resurrection of Jesus God has acted decisively to reveal and effect his purpose of redemption for the whole world.</w:t>
      </w:r>
      <w:r w:rsidR="000604DF">
        <w:rPr>
          <w:rFonts w:ascii="Arial" w:eastAsia="Times New Roman" w:hAnsi="Arial" w:cs="Arial"/>
        </w:rPr>
        <w:t xml:space="preserve"> … [This]</w:t>
      </w:r>
      <w:r w:rsidR="00356CBA">
        <w:rPr>
          <w:rFonts w:ascii="Arial" w:eastAsia="Times New Roman" w:hAnsi="Arial" w:cs="Arial"/>
        </w:rPr>
        <w:t xml:space="preserve"> </w:t>
      </w:r>
      <w:r w:rsidR="00356CBA" w:rsidRPr="00356CBA">
        <w:rPr>
          <w:rFonts w:ascii="Arial" w:eastAsia="Times New Roman" w:hAnsi="Arial" w:cs="Arial"/>
        </w:rPr>
        <w:t>cannot be derived from rational reflection on the experiences available to all people. It is a new fact, to be received in faith as a gift of grace. And what is thus given claims to be the truth, not just a possible opinion. It is the rock which must either become the foundation of all knowing and doing, or else the stone on which one stumbles and falls to disaster.</w:t>
      </w:r>
      <w:r w:rsidR="00C45566">
        <w:rPr>
          <w:rFonts w:ascii="Arial" w:eastAsia="Times New Roman" w:hAnsi="Arial" w:cs="Arial"/>
        </w:rPr>
        <w:t>”</w:t>
      </w:r>
      <w:r w:rsidR="00DC3B47">
        <w:rPr>
          <w:rStyle w:val="FootnoteReference"/>
          <w:rFonts w:ascii="Arial" w:eastAsia="Times New Roman" w:hAnsi="Arial" w:cs="Arial"/>
        </w:rPr>
        <w:footnoteReference w:id="8"/>
      </w:r>
      <w:r w:rsidR="00DC3B47">
        <w:rPr>
          <w:rFonts w:ascii="Arial" w:eastAsia="Times New Roman" w:hAnsi="Arial" w:cs="Arial"/>
        </w:rPr>
        <w:t xml:space="preserve"> </w:t>
      </w:r>
    </w:p>
    <w:p w14:paraId="5B1F5F12" w14:textId="1E721232" w:rsidR="00356CBA" w:rsidRDefault="00A463A5" w:rsidP="001964A7">
      <w:pPr>
        <w:spacing w:line="360" w:lineRule="auto"/>
        <w:jc w:val="both"/>
        <w:rPr>
          <w:rFonts w:ascii="Arial" w:hAnsi="Arial" w:cs="Arial"/>
        </w:rPr>
      </w:pPr>
      <w:r>
        <w:rPr>
          <w:rFonts w:ascii="Arial" w:eastAsia="Times New Roman" w:hAnsi="Arial" w:cs="Arial"/>
        </w:rPr>
        <w:t xml:space="preserve">The first epistemological point to make </w:t>
      </w:r>
      <w:r w:rsidR="00B0786A">
        <w:rPr>
          <w:rFonts w:ascii="Arial" w:eastAsia="Times New Roman" w:hAnsi="Arial" w:cs="Arial"/>
        </w:rPr>
        <w:t xml:space="preserve">is that, whilst the </w:t>
      </w:r>
      <w:r>
        <w:rPr>
          <w:rFonts w:ascii="Arial" w:eastAsia="Times New Roman" w:hAnsi="Arial" w:cs="Arial"/>
        </w:rPr>
        <w:t>gospel is authoritatively ‘</w:t>
      </w:r>
      <w:r w:rsidRPr="00B0786A">
        <w:rPr>
          <w:rFonts w:ascii="Arial" w:eastAsia="Times New Roman" w:hAnsi="Arial" w:cs="Arial"/>
          <w:i/>
        </w:rPr>
        <w:t>given</w:t>
      </w:r>
      <w:r>
        <w:rPr>
          <w:rFonts w:ascii="Arial" w:eastAsia="Times New Roman" w:hAnsi="Arial" w:cs="Arial"/>
        </w:rPr>
        <w:t>’</w:t>
      </w:r>
      <w:r w:rsidR="00B0786A">
        <w:rPr>
          <w:rFonts w:ascii="Arial" w:eastAsia="Times New Roman" w:hAnsi="Arial" w:cs="Arial"/>
        </w:rPr>
        <w:t xml:space="preserve">, this does not mean </w:t>
      </w:r>
      <w:r w:rsidR="004F3676">
        <w:rPr>
          <w:rFonts w:ascii="Arial" w:eastAsia="Times New Roman" w:hAnsi="Arial" w:cs="Arial"/>
        </w:rPr>
        <w:t xml:space="preserve">that the Christian community is in </w:t>
      </w:r>
      <w:r w:rsidR="004F3676" w:rsidRPr="004F3676">
        <w:rPr>
          <w:rFonts w:ascii="Arial" w:eastAsia="Times New Roman" w:hAnsi="Arial" w:cs="Arial"/>
          <w:i/>
        </w:rPr>
        <w:t>possession</w:t>
      </w:r>
      <w:r w:rsidR="004F3676">
        <w:rPr>
          <w:rFonts w:ascii="Arial" w:eastAsia="Times New Roman" w:hAnsi="Arial" w:cs="Arial"/>
        </w:rPr>
        <w:t xml:space="preserve"> of the truth </w:t>
      </w:r>
      <w:r w:rsidR="007D535B">
        <w:rPr>
          <w:rFonts w:ascii="Arial" w:eastAsia="Times New Roman" w:hAnsi="Arial" w:cs="Arial"/>
        </w:rPr>
        <w:t xml:space="preserve">vis-à-vis other communities in the </w:t>
      </w:r>
      <w:r w:rsidR="007D535B" w:rsidRPr="007D535B">
        <w:rPr>
          <w:rFonts w:ascii="Arial" w:eastAsia="Times New Roman" w:hAnsi="Arial" w:cs="Arial"/>
        </w:rPr>
        <w:t xml:space="preserve">world: </w:t>
      </w:r>
      <w:r w:rsidR="007D535B" w:rsidRPr="007D535B">
        <w:rPr>
          <w:rFonts w:ascii="Arial" w:hAnsi="Arial" w:cs="Arial"/>
        </w:rPr>
        <w:t>“it is essential to the integrity of our witness to this new reality that we recognize that to be its witnesses does not mean to be the possessors of all truth. It means to be placed on the path by following which we are led toward the truth.”</w:t>
      </w:r>
      <w:r w:rsidR="007D535B" w:rsidRPr="007D535B">
        <w:rPr>
          <w:rStyle w:val="FootnoteReference"/>
          <w:rFonts w:ascii="Arial" w:hAnsi="Arial" w:cs="Arial"/>
        </w:rPr>
        <w:footnoteReference w:id="9"/>
      </w:r>
      <w:r w:rsidR="007D535B">
        <w:rPr>
          <w:rFonts w:ascii="Arial" w:hAnsi="Arial" w:cs="Arial"/>
        </w:rPr>
        <w:t xml:space="preserve"> </w:t>
      </w:r>
      <w:r w:rsidR="00E27CBB">
        <w:rPr>
          <w:rFonts w:ascii="Arial" w:hAnsi="Arial" w:cs="Arial"/>
        </w:rPr>
        <w:t xml:space="preserve">Truth is not our possession, but is to be understood in personalist terms – the person and work of Jesus Christ, in whom is all truth. This leads to the second epistemological point, which is that all knowledge of truth and reality is personal knowledge </w:t>
      </w:r>
      <w:r w:rsidR="00E27CBB" w:rsidRPr="00E27CBB">
        <w:rPr>
          <w:rFonts w:ascii="Arial" w:hAnsi="Arial" w:cs="Arial"/>
          <w:i/>
        </w:rPr>
        <w:t>unless</w:t>
      </w:r>
      <w:r w:rsidR="00E27CBB">
        <w:rPr>
          <w:rFonts w:ascii="Arial" w:hAnsi="Arial" w:cs="Arial"/>
        </w:rPr>
        <w:t xml:space="preserve"> we set</w:t>
      </w:r>
      <w:r w:rsidR="00B856F1">
        <w:rPr>
          <w:rFonts w:ascii="Arial" w:hAnsi="Arial" w:cs="Arial"/>
        </w:rPr>
        <w:t xml:space="preserve"> aside the question of</w:t>
      </w:r>
      <w:r w:rsidR="00E27CBB">
        <w:rPr>
          <w:rFonts w:ascii="Arial" w:hAnsi="Arial" w:cs="Arial"/>
        </w:rPr>
        <w:t xml:space="preserve"> purpose.</w:t>
      </w:r>
    </w:p>
    <w:p w14:paraId="61C3F648" w14:textId="5958FAA4" w:rsidR="00CA61C5" w:rsidRPr="00CA61C5" w:rsidRDefault="00CA61C5" w:rsidP="00CA61C5">
      <w:pPr>
        <w:spacing w:line="360" w:lineRule="auto"/>
        <w:ind w:left="720"/>
        <w:jc w:val="both"/>
        <w:rPr>
          <w:rFonts w:ascii="Arial" w:hAnsi="Arial" w:cs="Arial"/>
        </w:rPr>
      </w:pPr>
      <w:r>
        <w:rPr>
          <w:rFonts w:ascii="Arial" w:hAnsi="Arial" w:cs="Arial"/>
        </w:rPr>
        <w:t>“</w:t>
      </w:r>
      <w:r w:rsidRPr="00CA61C5">
        <w:rPr>
          <w:rFonts w:ascii="Arial" w:hAnsi="Arial" w:cs="Arial"/>
        </w:rPr>
        <w:t>The spectacular success of the natural sciences in the past three hundred years has been due to their concentrating on tracing the cause-and-effect relation between happenings, and setting aside the question of purpose. There was a good practical reason for this. Purpose is a personal word.</w:t>
      </w:r>
      <w:r>
        <w:rPr>
          <w:rFonts w:ascii="Arial" w:hAnsi="Arial" w:cs="Arial"/>
        </w:rPr>
        <w:t xml:space="preserve"> … </w:t>
      </w:r>
      <w:r w:rsidRPr="00CA61C5">
        <w:rPr>
          <w:rFonts w:ascii="Arial" w:hAnsi="Arial" w:cs="Arial"/>
        </w:rPr>
        <w:t>If I come across a piece of machinery or equipment and have no idea of its purpose,</w:t>
      </w:r>
      <w:r>
        <w:rPr>
          <w:rFonts w:ascii="Arial" w:hAnsi="Arial" w:cs="Arial"/>
        </w:rPr>
        <w:t xml:space="preserve"> </w:t>
      </w:r>
      <w:r w:rsidRPr="00CA61C5">
        <w:rPr>
          <w:rFonts w:ascii="Arial" w:hAnsi="Arial" w:cs="Arial"/>
        </w:rPr>
        <w:t>I can of course take it to pieces and discover exactly how it works. But that will not explain what it is for. Either the designer, or someone who knows how to use it successfully for the purpose for which it was designed, will have to tell me. There will have to be personal communication.</w:t>
      </w:r>
      <w:r>
        <w:rPr>
          <w:rFonts w:ascii="Arial" w:hAnsi="Arial" w:cs="Arial"/>
        </w:rPr>
        <w:t xml:space="preserve"> … </w:t>
      </w:r>
      <w:r w:rsidRPr="00CA61C5">
        <w:rPr>
          <w:rFonts w:ascii="Arial" w:hAnsi="Arial" w:cs="Arial"/>
        </w:rPr>
        <w:t xml:space="preserve">If I do not know the purpose for which human life was designed, I have no basis for saying that any kind of human life-style is good or bad. It is simply an example of human life as it is. Judgments about what is good or bad can only be personal hunches. Each person will be entitled to her own. They will be, as we say, personal beliefs; and since there is no objective fact by which to test them, pluralism operates. If, on the other hand, it </w:t>
      </w:r>
      <w:proofErr w:type="gramStart"/>
      <w:r w:rsidRPr="00CA61C5">
        <w:rPr>
          <w:rFonts w:ascii="Arial" w:hAnsi="Arial" w:cs="Arial"/>
        </w:rPr>
        <w:t>were</w:t>
      </w:r>
      <w:proofErr w:type="gramEnd"/>
      <w:r w:rsidRPr="00CA61C5">
        <w:rPr>
          <w:rFonts w:ascii="Arial" w:hAnsi="Arial" w:cs="Arial"/>
        </w:rPr>
        <w:t xml:space="preserve"> a fact that the one who designed the whole cosmic and human story has told us what the purpose is, then the situation would be different. That would be a fact — a fact of supreme and decisive importance.</w:t>
      </w:r>
      <w:r>
        <w:rPr>
          <w:rFonts w:ascii="Arial" w:hAnsi="Arial" w:cs="Arial"/>
        </w:rPr>
        <w:t>”</w:t>
      </w:r>
      <w:r>
        <w:rPr>
          <w:rStyle w:val="FootnoteReference"/>
          <w:rFonts w:ascii="Arial" w:hAnsi="Arial" w:cs="Arial"/>
        </w:rPr>
        <w:footnoteReference w:id="10"/>
      </w:r>
    </w:p>
    <w:p w14:paraId="5B067B92" w14:textId="4FACBB22" w:rsidR="004F6314" w:rsidRDefault="004F6314" w:rsidP="00CA61C5">
      <w:pPr>
        <w:spacing w:line="360" w:lineRule="auto"/>
        <w:jc w:val="both"/>
        <w:rPr>
          <w:rFonts w:ascii="Arial" w:hAnsi="Arial" w:cs="Arial"/>
        </w:rPr>
      </w:pPr>
      <w:bookmarkStart w:id="0" w:name="_GoBack"/>
      <w:r>
        <w:rPr>
          <w:rFonts w:ascii="Arial" w:hAnsi="Arial" w:cs="Arial"/>
        </w:rPr>
        <w:t xml:space="preserve">[Insert section on </w:t>
      </w:r>
      <w:proofErr w:type="spellStart"/>
      <w:r>
        <w:rPr>
          <w:rFonts w:ascii="Arial" w:hAnsi="Arial" w:cs="Arial"/>
        </w:rPr>
        <w:t>Nancey</w:t>
      </w:r>
      <w:proofErr w:type="spellEnd"/>
      <w:r>
        <w:rPr>
          <w:rFonts w:ascii="Arial" w:hAnsi="Arial" w:cs="Arial"/>
        </w:rPr>
        <w:t xml:space="preserve"> Murphy’s comments on teleology and purpose in her response essay to Early et al.]</w:t>
      </w:r>
    </w:p>
    <w:bookmarkEnd w:id="0"/>
    <w:p w14:paraId="35CC06CB" w14:textId="18CBDF16" w:rsidR="00CA61C5" w:rsidRDefault="009E7D87" w:rsidP="00CA61C5">
      <w:pPr>
        <w:spacing w:line="360" w:lineRule="auto"/>
        <w:jc w:val="both"/>
        <w:rPr>
          <w:rFonts w:ascii="Arial" w:hAnsi="Arial" w:cs="Arial"/>
        </w:rPr>
      </w:pPr>
      <w:r>
        <w:rPr>
          <w:rFonts w:ascii="Arial" w:hAnsi="Arial" w:cs="Arial"/>
        </w:rPr>
        <w:t>If all knowledge of reality and truth is personal knowledge, we cannot create dichotomy between ‘objective facts’ and ‘personal beliefs’.</w:t>
      </w:r>
    </w:p>
    <w:p w14:paraId="1930C708" w14:textId="77777777" w:rsidR="00202380" w:rsidRDefault="00202380" w:rsidP="00CA61C5">
      <w:pPr>
        <w:spacing w:line="360" w:lineRule="auto"/>
        <w:jc w:val="both"/>
        <w:rPr>
          <w:rFonts w:ascii="Arial" w:hAnsi="Arial" w:cs="Arial"/>
        </w:rPr>
      </w:pPr>
    </w:p>
    <w:p w14:paraId="7F504097" w14:textId="77777777" w:rsidR="00202380" w:rsidRPr="00CA61C5" w:rsidRDefault="00202380" w:rsidP="00CA61C5">
      <w:pPr>
        <w:spacing w:line="360" w:lineRule="auto"/>
        <w:jc w:val="both"/>
        <w:rPr>
          <w:rFonts w:ascii="Arial" w:hAnsi="Arial" w:cs="Arial"/>
        </w:rPr>
      </w:pPr>
    </w:p>
    <w:p w14:paraId="5D4F8879" w14:textId="77777777" w:rsidR="000F57CD" w:rsidRDefault="000F57CD" w:rsidP="00BC6B27">
      <w:pPr>
        <w:spacing w:line="360" w:lineRule="auto"/>
        <w:jc w:val="both"/>
        <w:rPr>
          <w:rFonts w:ascii="Arial" w:hAnsi="Arial" w:cs="Arial"/>
        </w:rPr>
      </w:pPr>
    </w:p>
    <w:p w14:paraId="2A1FFA2A" w14:textId="77777777" w:rsidR="00CA61C5" w:rsidRDefault="00CA61C5" w:rsidP="00BC6B27">
      <w:pPr>
        <w:spacing w:line="360" w:lineRule="auto"/>
        <w:jc w:val="both"/>
        <w:rPr>
          <w:rFonts w:ascii="Arial" w:hAnsi="Arial" w:cs="Arial"/>
        </w:rPr>
      </w:pPr>
    </w:p>
    <w:p w14:paraId="27CCE74A" w14:textId="77777777" w:rsidR="00CA61C5" w:rsidRDefault="00CA61C5" w:rsidP="00BC6B27">
      <w:pPr>
        <w:spacing w:line="360" w:lineRule="auto"/>
        <w:jc w:val="both"/>
        <w:rPr>
          <w:rFonts w:ascii="Arial" w:eastAsia="Times New Roman" w:hAnsi="Arial" w:cs="Arial"/>
        </w:rPr>
      </w:pPr>
    </w:p>
    <w:p w14:paraId="4F3367EB" w14:textId="77777777" w:rsidR="000F57CD" w:rsidRDefault="000F57CD" w:rsidP="00BC6B27">
      <w:pPr>
        <w:spacing w:line="360" w:lineRule="auto"/>
        <w:jc w:val="both"/>
        <w:rPr>
          <w:rFonts w:ascii="Arial" w:eastAsia="Times New Roman" w:hAnsi="Arial" w:cs="Arial"/>
        </w:rPr>
      </w:pPr>
    </w:p>
    <w:p w14:paraId="32362EC6" w14:textId="6746024E" w:rsidR="00EB70A1" w:rsidRDefault="000F57CD" w:rsidP="00BC6B27">
      <w:pPr>
        <w:spacing w:line="360" w:lineRule="auto"/>
        <w:jc w:val="both"/>
        <w:rPr>
          <w:rFonts w:ascii="Arial" w:eastAsia="Times New Roman" w:hAnsi="Arial" w:cs="Arial"/>
        </w:rPr>
      </w:pPr>
      <w:r>
        <w:rPr>
          <w:rFonts w:ascii="Arial" w:eastAsia="Times New Roman" w:hAnsi="Arial" w:cs="Arial"/>
        </w:rPr>
        <w:t xml:space="preserve">The initial judgement of whether to personally commit to this rationality is ‘a-critical’. All acts of knowing require a personal commitment to a ‘fiduciary </w:t>
      </w:r>
      <w:proofErr w:type="spellStart"/>
      <w:r>
        <w:rPr>
          <w:rFonts w:ascii="Arial" w:eastAsia="Times New Roman" w:hAnsi="Arial" w:cs="Arial"/>
        </w:rPr>
        <w:t>framBut</w:t>
      </w:r>
      <w:proofErr w:type="spellEnd"/>
      <w:r>
        <w:rPr>
          <w:rFonts w:ascii="Arial" w:eastAsia="Times New Roman" w:hAnsi="Arial" w:cs="Arial"/>
        </w:rPr>
        <w:t xml:space="preserve"> that does not mean </w:t>
      </w:r>
      <w:r w:rsidR="002855EB">
        <w:rPr>
          <w:rFonts w:ascii="Arial" w:eastAsia="Times New Roman" w:hAnsi="Arial" w:cs="Arial"/>
        </w:rPr>
        <w:t xml:space="preserve">I shall sketch his argument in order to </w:t>
      </w:r>
      <w:proofErr w:type="gramStart"/>
      <w:r w:rsidR="00636BF3">
        <w:rPr>
          <w:rFonts w:ascii="Arial" w:eastAsia="Times New Roman" w:hAnsi="Arial" w:cs="Arial"/>
        </w:rPr>
        <w:t xml:space="preserve">show </w:t>
      </w:r>
      <w:r w:rsidR="002855EB">
        <w:rPr>
          <w:rFonts w:ascii="Arial" w:eastAsia="Times New Roman" w:hAnsi="Arial" w:cs="Arial"/>
        </w:rPr>
        <w:t xml:space="preserve"> is</w:t>
      </w:r>
      <w:proofErr w:type="gramEnd"/>
      <w:r w:rsidR="002855EB">
        <w:rPr>
          <w:rFonts w:ascii="Arial" w:eastAsia="Times New Roman" w:hAnsi="Arial" w:cs="Arial"/>
        </w:rPr>
        <w:t xml:space="preserve"> important to </w:t>
      </w:r>
    </w:p>
    <w:p w14:paraId="3C9D16F1" w14:textId="77777777" w:rsidR="00BC6B27" w:rsidRDefault="00BC6B27" w:rsidP="00BC6B27">
      <w:pPr>
        <w:spacing w:line="360" w:lineRule="auto"/>
        <w:jc w:val="both"/>
        <w:rPr>
          <w:rFonts w:ascii="Arial" w:eastAsia="Times New Roman" w:hAnsi="Arial" w:cs="Arial"/>
        </w:rPr>
      </w:pPr>
    </w:p>
    <w:p w14:paraId="7185EBDF" w14:textId="77777777" w:rsidR="00BC6B27" w:rsidRDefault="00BC6B27" w:rsidP="00BC6B27">
      <w:pPr>
        <w:spacing w:line="360" w:lineRule="auto"/>
        <w:jc w:val="both"/>
        <w:rPr>
          <w:rFonts w:ascii="Arial" w:eastAsia="Times New Roman" w:hAnsi="Arial" w:cs="Arial"/>
        </w:rPr>
      </w:pPr>
    </w:p>
    <w:p w14:paraId="39B6BF6D" w14:textId="77777777" w:rsidR="00BC6B27" w:rsidRDefault="00BC6B27" w:rsidP="00BC6B27">
      <w:pPr>
        <w:spacing w:line="360" w:lineRule="auto"/>
        <w:jc w:val="both"/>
        <w:rPr>
          <w:rFonts w:ascii="Arial" w:eastAsia="Times New Roman" w:hAnsi="Arial" w:cs="Arial"/>
        </w:rPr>
      </w:pPr>
    </w:p>
    <w:p w14:paraId="32DA845A" w14:textId="77777777" w:rsidR="00BC6B27" w:rsidRDefault="00BC6B27" w:rsidP="00BC6B27">
      <w:pPr>
        <w:spacing w:line="360" w:lineRule="auto"/>
        <w:jc w:val="both"/>
        <w:rPr>
          <w:rFonts w:ascii="Arial" w:eastAsia="Times New Roman" w:hAnsi="Arial" w:cs="Arial"/>
        </w:rPr>
      </w:pPr>
    </w:p>
    <w:p w14:paraId="04143CAD" w14:textId="77777777" w:rsidR="00BC6B27" w:rsidRDefault="00BC6B27" w:rsidP="00BC6B27">
      <w:pPr>
        <w:spacing w:line="360" w:lineRule="auto"/>
        <w:jc w:val="both"/>
        <w:rPr>
          <w:rFonts w:ascii="Arial" w:eastAsia="Times New Roman" w:hAnsi="Arial" w:cs="Arial"/>
        </w:rPr>
      </w:pPr>
    </w:p>
    <w:p w14:paraId="1768735F" w14:textId="77777777" w:rsidR="00BC6B27" w:rsidRDefault="00BC6B27" w:rsidP="00BC6B27">
      <w:pPr>
        <w:spacing w:line="360" w:lineRule="auto"/>
        <w:jc w:val="both"/>
        <w:rPr>
          <w:rFonts w:ascii="Arial" w:eastAsia="Times New Roman" w:hAnsi="Arial" w:cs="Arial"/>
        </w:rPr>
      </w:pPr>
    </w:p>
    <w:p w14:paraId="1D1EB1AC" w14:textId="77777777" w:rsidR="00BC6B27" w:rsidRDefault="00BC6B27" w:rsidP="00BC6B27">
      <w:pPr>
        <w:spacing w:line="360" w:lineRule="auto"/>
        <w:jc w:val="both"/>
        <w:rPr>
          <w:rFonts w:ascii="Arial" w:eastAsia="Times New Roman" w:hAnsi="Arial" w:cs="Arial"/>
        </w:rPr>
      </w:pPr>
    </w:p>
    <w:p w14:paraId="3D92C2C4" w14:textId="77777777" w:rsidR="00BC6B27" w:rsidRDefault="00BC6B27" w:rsidP="00BC6B27">
      <w:pPr>
        <w:spacing w:line="360" w:lineRule="auto"/>
        <w:jc w:val="both"/>
        <w:rPr>
          <w:rFonts w:ascii="Arial" w:eastAsia="Times New Roman" w:hAnsi="Arial" w:cs="Arial"/>
        </w:rPr>
      </w:pPr>
    </w:p>
    <w:p w14:paraId="4246A448" w14:textId="77777777" w:rsidR="00BC6B27" w:rsidRDefault="00BC6B27" w:rsidP="00BC6B27">
      <w:pPr>
        <w:spacing w:line="360" w:lineRule="auto"/>
        <w:jc w:val="both"/>
        <w:rPr>
          <w:rFonts w:ascii="Arial" w:eastAsia="Times New Roman" w:hAnsi="Arial" w:cs="Arial"/>
        </w:rPr>
      </w:pPr>
    </w:p>
    <w:p w14:paraId="2B193826" w14:textId="77777777" w:rsidR="00BC6B27" w:rsidRDefault="00BC6B27" w:rsidP="00BC6B27">
      <w:pPr>
        <w:spacing w:line="360" w:lineRule="auto"/>
        <w:jc w:val="both"/>
        <w:rPr>
          <w:rFonts w:ascii="Arial" w:eastAsia="Times New Roman" w:hAnsi="Arial" w:cs="Arial"/>
        </w:rPr>
      </w:pPr>
    </w:p>
    <w:p w14:paraId="018BC30E" w14:textId="77777777" w:rsidR="00BC6B27" w:rsidRDefault="00BC6B27" w:rsidP="00BC6B27">
      <w:pPr>
        <w:spacing w:line="360" w:lineRule="auto"/>
        <w:jc w:val="both"/>
        <w:rPr>
          <w:rFonts w:ascii="Arial" w:eastAsia="Times New Roman" w:hAnsi="Arial" w:cs="Arial"/>
        </w:rPr>
      </w:pPr>
    </w:p>
    <w:p w14:paraId="69C69ADE" w14:textId="77777777" w:rsidR="00BC6B27" w:rsidRDefault="00BC6B27" w:rsidP="00BC6B27">
      <w:pPr>
        <w:spacing w:line="360" w:lineRule="auto"/>
        <w:jc w:val="both"/>
        <w:rPr>
          <w:rFonts w:ascii="Arial" w:eastAsia="Times New Roman" w:hAnsi="Arial" w:cs="Arial"/>
        </w:rPr>
      </w:pPr>
    </w:p>
    <w:p w14:paraId="03302BFE" w14:textId="77777777" w:rsidR="00BC6B27" w:rsidRDefault="00BC6B27" w:rsidP="00BC6B27">
      <w:pPr>
        <w:spacing w:line="360" w:lineRule="auto"/>
        <w:jc w:val="both"/>
        <w:rPr>
          <w:rFonts w:ascii="Arial" w:eastAsia="Times New Roman" w:hAnsi="Arial" w:cs="Arial"/>
        </w:rPr>
      </w:pPr>
    </w:p>
    <w:p w14:paraId="6A145915" w14:textId="77777777" w:rsidR="00BC6B27" w:rsidRDefault="00BC6B27" w:rsidP="00BC6B27">
      <w:pPr>
        <w:spacing w:line="360" w:lineRule="auto"/>
        <w:jc w:val="both"/>
        <w:rPr>
          <w:rFonts w:ascii="Arial" w:eastAsia="Times New Roman" w:hAnsi="Arial" w:cs="Arial"/>
        </w:rPr>
      </w:pPr>
    </w:p>
    <w:p w14:paraId="29AA621C" w14:textId="77777777" w:rsidR="00BC6B27" w:rsidRDefault="00BC6B27" w:rsidP="00BC6B27">
      <w:pPr>
        <w:spacing w:line="360" w:lineRule="auto"/>
        <w:jc w:val="both"/>
        <w:rPr>
          <w:rFonts w:ascii="Arial" w:eastAsia="Times New Roman" w:hAnsi="Arial" w:cs="Arial"/>
        </w:rPr>
      </w:pPr>
    </w:p>
    <w:p w14:paraId="088290BC" w14:textId="77777777" w:rsidR="00BC6B27" w:rsidRDefault="00BC6B27" w:rsidP="00BC6B27">
      <w:pPr>
        <w:spacing w:line="360" w:lineRule="auto"/>
        <w:jc w:val="both"/>
        <w:rPr>
          <w:rFonts w:ascii="Arial" w:eastAsia="Times New Roman" w:hAnsi="Arial" w:cs="Arial"/>
        </w:rPr>
      </w:pPr>
    </w:p>
    <w:p w14:paraId="13F7377E" w14:textId="77777777" w:rsidR="00BC6B27" w:rsidRDefault="00BC6B27" w:rsidP="00BC6B27">
      <w:pPr>
        <w:spacing w:line="360" w:lineRule="auto"/>
        <w:jc w:val="both"/>
        <w:rPr>
          <w:rFonts w:ascii="Arial" w:eastAsia="Times New Roman" w:hAnsi="Arial" w:cs="Arial"/>
        </w:rPr>
      </w:pPr>
    </w:p>
    <w:p w14:paraId="0E18A349" w14:textId="77777777" w:rsidR="00BC6B27" w:rsidRDefault="00BC6B27" w:rsidP="00BC6B27">
      <w:pPr>
        <w:spacing w:line="360" w:lineRule="auto"/>
        <w:jc w:val="both"/>
        <w:rPr>
          <w:rFonts w:ascii="Arial" w:eastAsia="Times New Roman" w:hAnsi="Arial" w:cs="Arial"/>
        </w:rPr>
      </w:pPr>
    </w:p>
    <w:p w14:paraId="623CD812" w14:textId="77777777" w:rsidR="00BC6B27" w:rsidRDefault="00BC6B27" w:rsidP="00BC6B27">
      <w:pPr>
        <w:spacing w:line="360" w:lineRule="auto"/>
        <w:jc w:val="both"/>
        <w:rPr>
          <w:rFonts w:ascii="Arial" w:eastAsia="Times New Roman" w:hAnsi="Arial" w:cs="Arial"/>
        </w:rPr>
      </w:pPr>
    </w:p>
    <w:p w14:paraId="533A1F5A" w14:textId="77777777" w:rsidR="00BC6B27" w:rsidRDefault="00BC6B27" w:rsidP="00BC6B27">
      <w:pPr>
        <w:spacing w:line="360" w:lineRule="auto"/>
        <w:jc w:val="both"/>
        <w:rPr>
          <w:rFonts w:ascii="Arial" w:eastAsia="Times New Roman" w:hAnsi="Arial" w:cs="Arial"/>
        </w:rPr>
      </w:pPr>
    </w:p>
    <w:p w14:paraId="77D1A05A" w14:textId="77777777" w:rsidR="00BC6B27" w:rsidRDefault="00BC6B27" w:rsidP="00BC6B27">
      <w:pPr>
        <w:spacing w:line="360" w:lineRule="auto"/>
        <w:jc w:val="both"/>
        <w:rPr>
          <w:rFonts w:ascii="Arial" w:eastAsia="Times New Roman" w:hAnsi="Arial" w:cs="Arial"/>
        </w:rPr>
      </w:pPr>
    </w:p>
    <w:p w14:paraId="400182AC" w14:textId="77777777" w:rsidR="00BC6B27" w:rsidRDefault="00BC6B27" w:rsidP="00BC6B27">
      <w:pPr>
        <w:spacing w:line="360" w:lineRule="auto"/>
        <w:jc w:val="both"/>
        <w:rPr>
          <w:rFonts w:ascii="Arial" w:eastAsia="Times New Roman" w:hAnsi="Arial" w:cs="Arial"/>
        </w:rPr>
      </w:pPr>
    </w:p>
    <w:p w14:paraId="14FEE292" w14:textId="77777777" w:rsidR="00BC6B27" w:rsidRDefault="00BC6B27" w:rsidP="00BC6B27">
      <w:pPr>
        <w:spacing w:line="360" w:lineRule="auto"/>
        <w:jc w:val="both"/>
        <w:rPr>
          <w:rFonts w:ascii="Arial" w:eastAsia="Times New Roman" w:hAnsi="Arial" w:cs="Arial"/>
        </w:rPr>
      </w:pPr>
    </w:p>
    <w:p w14:paraId="1146A59A" w14:textId="77777777" w:rsidR="00BC6B27" w:rsidRDefault="00BC6B27" w:rsidP="00BC6B27">
      <w:pPr>
        <w:spacing w:line="360" w:lineRule="auto"/>
        <w:jc w:val="both"/>
        <w:rPr>
          <w:rFonts w:ascii="Arial" w:eastAsia="Times New Roman" w:hAnsi="Arial" w:cs="Arial"/>
        </w:rPr>
      </w:pPr>
    </w:p>
    <w:p w14:paraId="5E4BBF03" w14:textId="77777777" w:rsidR="00BC6B27" w:rsidRDefault="00BC6B27" w:rsidP="00BC6B27">
      <w:pPr>
        <w:spacing w:line="360" w:lineRule="auto"/>
        <w:jc w:val="both"/>
        <w:rPr>
          <w:rFonts w:ascii="Arial" w:eastAsia="Times New Roman" w:hAnsi="Arial" w:cs="Arial"/>
        </w:rPr>
      </w:pPr>
    </w:p>
    <w:p w14:paraId="1AEBCD87" w14:textId="77777777" w:rsidR="00BC6B27" w:rsidRDefault="00BC6B27" w:rsidP="00BC6B27">
      <w:pPr>
        <w:spacing w:line="360" w:lineRule="auto"/>
        <w:jc w:val="both"/>
        <w:rPr>
          <w:rFonts w:ascii="Arial" w:eastAsia="Times New Roman" w:hAnsi="Arial" w:cs="Arial"/>
        </w:rPr>
      </w:pPr>
    </w:p>
    <w:p w14:paraId="63387C0C" w14:textId="77777777" w:rsidR="00BC6B27" w:rsidRDefault="00BC6B27" w:rsidP="00BC6B27">
      <w:pPr>
        <w:spacing w:line="360" w:lineRule="auto"/>
        <w:jc w:val="both"/>
        <w:rPr>
          <w:rFonts w:ascii="Arial" w:eastAsia="Times New Roman" w:hAnsi="Arial" w:cs="Arial"/>
        </w:rPr>
      </w:pPr>
    </w:p>
    <w:p w14:paraId="08FBC78F" w14:textId="77777777" w:rsidR="00BC6B27" w:rsidRDefault="00BC6B27" w:rsidP="00BC6B27">
      <w:pPr>
        <w:spacing w:line="360" w:lineRule="auto"/>
        <w:jc w:val="both"/>
        <w:rPr>
          <w:rFonts w:ascii="Arial" w:eastAsia="Times New Roman" w:hAnsi="Arial" w:cs="Arial"/>
        </w:rPr>
      </w:pPr>
    </w:p>
    <w:p w14:paraId="3E235B57" w14:textId="77777777" w:rsidR="00BC6B27" w:rsidRDefault="00BC6B27" w:rsidP="00BC6B27">
      <w:pPr>
        <w:spacing w:line="360" w:lineRule="auto"/>
        <w:jc w:val="both"/>
        <w:rPr>
          <w:rFonts w:ascii="Arial" w:eastAsia="Times New Roman" w:hAnsi="Arial" w:cs="Arial"/>
        </w:rPr>
      </w:pPr>
    </w:p>
    <w:p w14:paraId="6D7400C1" w14:textId="77777777" w:rsidR="00BC6B27" w:rsidRDefault="00BC6B27" w:rsidP="00BC6B27">
      <w:pPr>
        <w:spacing w:line="360" w:lineRule="auto"/>
        <w:jc w:val="both"/>
        <w:rPr>
          <w:rFonts w:ascii="Arial" w:eastAsia="Times New Roman" w:hAnsi="Arial" w:cs="Arial"/>
        </w:rPr>
      </w:pPr>
    </w:p>
    <w:p w14:paraId="164DD863" w14:textId="77777777" w:rsidR="00BC6B27" w:rsidRDefault="00BC6B27" w:rsidP="00BC6B27">
      <w:pPr>
        <w:spacing w:line="360" w:lineRule="auto"/>
        <w:jc w:val="both"/>
        <w:rPr>
          <w:rFonts w:ascii="Arial" w:eastAsia="Times New Roman" w:hAnsi="Arial" w:cs="Arial"/>
        </w:rPr>
      </w:pPr>
    </w:p>
    <w:p w14:paraId="43731393" w14:textId="77777777" w:rsidR="00BC6B27" w:rsidRDefault="00BC6B27" w:rsidP="00BC6B27">
      <w:pPr>
        <w:spacing w:line="360" w:lineRule="auto"/>
        <w:jc w:val="both"/>
        <w:rPr>
          <w:rFonts w:ascii="Arial" w:eastAsia="Times New Roman" w:hAnsi="Arial" w:cs="Arial"/>
        </w:rPr>
      </w:pPr>
    </w:p>
    <w:p w14:paraId="30C2BE6D" w14:textId="77777777" w:rsidR="00BC6B27" w:rsidRDefault="00BC6B27" w:rsidP="00BC6B27">
      <w:pPr>
        <w:spacing w:line="360" w:lineRule="auto"/>
        <w:jc w:val="both"/>
        <w:rPr>
          <w:rFonts w:ascii="Arial" w:eastAsia="Times New Roman" w:hAnsi="Arial" w:cs="Arial"/>
        </w:rPr>
      </w:pPr>
    </w:p>
    <w:p w14:paraId="3A103523" w14:textId="77777777" w:rsidR="00BC6B27" w:rsidRDefault="00BC6B27" w:rsidP="00BC6B27">
      <w:pPr>
        <w:spacing w:line="360" w:lineRule="auto"/>
        <w:jc w:val="both"/>
        <w:rPr>
          <w:rFonts w:ascii="Arial" w:eastAsia="Times New Roman" w:hAnsi="Arial" w:cs="Arial"/>
        </w:rPr>
      </w:pPr>
    </w:p>
    <w:p w14:paraId="1AD35BE1" w14:textId="77777777" w:rsidR="00BC6B27" w:rsidRDefault="00BC6B27" w:rsidP="00BC6B27">
      <w:pPr>
        <w:spacing w:line="360" w:lineRule="auto"/>
        <w:jc w:val="both"/>
        <w:rPr>
          <w:rFonts w:ascii="Arial" w:eastAsia="Times New Roman" w:hAnsi="Arial" w:cs="Arial"/>
        </w:rPr>
      </w:pPr>
    </w:p>
    <w:p w14:paraId="39788A40" w14:textId="77777777" w:rsidR="00BC6B27" w:rsidRDefault="00BC6B27" w:rsidP="00BC6B27">
      <w:pPr>
        <w:spacing w:line="360" w:lineRule="auto"/>
        <w:jc w:val="both"/>
        <w:rPr>
          <w:rFonts w:ascii="Arial" w:eastAsia="Times New Roman" w:hAnsi="Arial" w:cs="Arial"/>
        </w:rPr>
      </w:pPr>
    </w:p>
    <w:p w14:paraId="605C85FA" w14:textId="77777777" w:rsidR="00BC6B27" w:rsidRDefault="00BC6B27" w:rsidP="00BC6B27">
      <w:pPr>
        <w:spacing w:line="360" w:lineRule="auto"/>
        <w:jc w:val="both"/>
        <w:rPr>
          <w:rFonts w:ascii="Arial" w:eastAsia="Times New Roman" w:hAnsi="Arial" w:cs="Arial"/>
        </w:rPr>
      </w:pPr>
    </w:p>
    <w:p w14:paraId="588CA1A8" w14:textId="77777777" w:rsidR="00BC6B27" w:rsidRDefault="00BC6B27" w:rsidP="00BC6B27">
      <w:pPr>
        <w:spacing w:line="360" w:lineRule="auto"/>
        <w:jc w:val="both"/>
        <w:rPr>
          <w:rFonts w:ascii="Arial" w:eastAsia="Times New Roman" w:hAnsi="Arial" w:cs="Arial"/>
        </w:rPr>
      </w:pPr>
    </w:p>
    <w:p w14:paraId="2622A211" w14:textId="77777777" w:rsidR="00BC6B27" w:rsidRDefault="00BC6B27" w:rsidP="00BC6B27">
      <w:pPr>
        <w:spacing w:line="360" w:lineRule="auto"/>
        <w:jc w:val="both"/>
        <w:rPr>
          <w:rFonts w:ascii="Arial" w:eastAsia="Times New Roman" w:hAnsi="Arial" w:cs="Arial"/>
        </w:rPr>
      </w:pPr>
    </w:p>
    <w:p w14:paraId="19B03F91" w14:textId="77777777" w:rsidR="00BC6B27" w:rsidRDefault="00BC6B27" w:rsidP="00BC6B27">
      <w:pPr>
        <w:spacing w:line="360" w:lineRule="auto"/>
        <w:jc w:val="both"/>
        <w:rPr>
          <w:rFonts w:ascii="Arial" w:eastAsia="Times New Roman" w:hAnsi="Arial" w:cs="Arial"/>
        </w:rPr>
      </w:pPr>
    </w:p>
    <w:p w14:paraId="19836BE7" w14:textId="77777777" w:rsidR="00BC6B27" w:rsidRDefault="00BC6B27" w:rsidP="00BC6B27">
      <w:pPr>
        <w:spacing w:line="360" w:lineRule="auto"/>
        <w:jc w:val="both"/>
        <w:rPr>
          <w:rFonts w:ascii="Arial" w:eastAsia="Times New Roman" w:hAnsi="Arial" w:cs="Arial"/>
        </w:rPr>
      </w:pPr>
    </w:p>
    <w:p w14:paraId="61CF48AB" w14:textId="77777777" w:rsidR="00BC6B27" w:rsidRDefault="00BC6B27" w:rsidP="00BC6B27">
      <w:pPr>
        <w:spacing w:line="360" w:lineRule="auto"/>
        <w:jc w:val="both"/>
        <w:rPr>
          <w:rFonts w:ascii="Arial" w:eastAsia="Times New Roman" w:hAnsi="Arial" w:cs="Arial"/>
        </w:rPr>
      </w:pPr>
    </w:p>
    <w:p w14:paraId="6823BA76" w14:textId="77777777" w:rsidR="00BC6B27" w:rsidRDefault="00BC6B27" w:rsidP="00BC6B27">
      <w:pPr>
        <w:spacing w:line="360" w:lineRule="auto"/>
        <w:jc w:val="both"/>
        <w:rPr>
          <w:rFonts w:ascii="Arial" w:eastAsia="Times New Roman" w:hAnsi="Arial" w:cs="Arial"/>
        </w:rPr>
      </w:pPr>
    </w:p>
    <w:p w14:paraId="3DB521C0" w14:textId="77777777" w:rsidR="00BC6B27" w:rsidRDefault="00BC6B27" w:rsidP="00BC6B27">
      <w:pPr>
        <w:spacing w:line="360" w:lineRule="auto"/>
        <w:jc w:val="both"/>
        <w:rPr>
          <w:rFonts w:ascii="Arial" w:eastAsia="Times New Roman" w:hAnsi="Arial" w:cs="Arial"/>
        </w:rPr>
      </w:pPr>
    </w:p>
    <w:p w14:paraId="68DC9744" w14:textId="77777777" w:rsidR="00BC6B27" w:rsidRDefault="00BC6B27" w:rsidP="00BC6B27">
      <w:pPr>
        <w:spacing w:line="360" w:lineRule="auto"/>
        <w:jc w:val="both"/>
        <w:rPr>
          <w:rFonts w:ascii="Arial" w:eastAsia="Times New Roman" w:hAnsi="Arial" w:cs="Arial"/>
        </w:rPr>
      </w:pPr>
    </w:p>
    <w:p w14:paraId="71A407B5" w14:textId="77777777" w:rsidR="00BC6B27" w:rsidRDefault="00BC6B27" w:rsidP="00BC6B27">
      <w:pPr>
        <w:spacing w:line="360" w:lineRule="auto"/>
        <w:jc w:val="both"/>
        <w:rPr>
          <w:rFonts w:ascii="Arial" w:eastAsia="Times New Roman" w:hAnsi="Arial" w:cs="Arial"/>
        </w:rPr>
      </w:pPr>
    </w:p>
    <w:p w14:paraId="3CC89C32" w14:textId="77777777" w:rsidR="00BC6B27" w:rsidRDefault="00BC6B27" w:rsidP="00BC6B27">
      <w:pPr>
        <w:spacing w:line="360" w:lineRule="auto"/>
        <w:jc w:val="both"/>
        <w:rPr>
          <w:rFonts w:ascii="Arial" w:eastAsia="Times New Roman" w:hAnsi="Arial" w:cs="Arial"/>
        </w:rPr>
      </w:pPr>
    </w:p>
    <w:p w14:paraId="771D044D" w14:textId="77777777" w:rsidR="00BC6B27" w:rsidRDefault="00BC6B27" w:rsidP="00BC6B27">
      <w:pPr>
        <w:spacing w:line="360" w:lineRule="auto"/>
        <w:jc w:val="both"/>
        <w:rPr>
          <w:rFonts w:ascii="Arial" w:eastAsia="Times New Roman" w:hAnsi="Arial" w:cs="Arial"/>
        </w:rPr>
      </w:pPr>
    </w:p>
    <w:p w14:paraId="2F3AEB85" w14:textId="77777777" w:rsidR="00BC6B27" w:rsidRDefault="00BC6B27" w:rsidP="00BC6B27">
      <w:pPr>
        <w:spacing w:line="360" w:lineRule="auto"/>
        <w:jc w:val="both"/>
        <w:rPr>
          <w:rFonts w:ascii="Arial" w:eastAsia="Times New Roman" w:hAnsi="Arial" w:cs="Arial"/>
        </w:rPr>
      </w:pPr>
    </w:p>
    <w:p w14:paraId="026A1660" w14:textId="77777777" w:rsidR="00BC6B27" w:rsidRDefault="00BC6B27" w:rsidP="00BC6B27">
      <w:pPr>
        <w:spacing w:line="360" w:lineRule="auto"/>
        <w:jc w:val="both"/>
        <w:rPr>
          <w:rFonts w:ascii="Arial" w:eastAsia="Times New Roman" w:hAnsi="Arial" w:cs="Arial"/>
        </w:rPr>
      </w:pPr>
    </w:p>
    <w:p w14:paraId="3AE9182C" w14:textId="77777777" w:rsidR="00BC6B27" w:rsidRPr="00BC6B27" w:rsidRDefault="00BC6B27" w:rsidP="00BC6B27">
      <w:pPr>
        <w:spacing w:line="360" w:lineRule="auto"/>
        <w:jc w:val="both"/>
        <w:rPr>
          <w:rFonts w:ascii="Arial" w:eastAsia="Times New Roman" w:hAnsi="Arial" w:cs="Arial"/>
        </w:rPr>
      </w:pPr>
    </w:p>
    <w:sectPr w:rsidR="00BC6B27" w:rsidRPr="00BC6B27" w:rsidSect="00BC6B2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9954B" w14:textId="77777777" w:rsidR="001B65CB" w:rsidRDefault="001B65CB" w:rsidP="00CC106F">
      <w:r>
        <w:separator/>
      </w:r>
    </w:p>
  </w:endnote>
  <w:endnote w:type="continuationSeparator" w:id="0">
    <w:p w14:paraId="464B2E70" w14:textId="77777777" w:rsidR="001B65CB" w:rsidRDefault="001B65CB" w:rsidP="00C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B5394" w14:textId="77777777" w:rsidR="001B65CB" w:rsidRDefault="001B65CB" w:rsidP="00CC106F">
      <w:r>
        <w:separator/>
      </w:r>
    </w:p>
  </w:footnote>
  <w:footnote w:type="continuationSeparator" w:id="0">
    <w:p w14:paraId="01FAB38E" w14:textId="77777777" w:rsidR="001B65CB" w:rsidRDefault="001B65CB" w:rsidP="00CC106F">
      <w:r>
        <w:continuationSeparator/>
      </w:r>
    </w:p>
  </w:footnote>
  <w:footnote w:id="1">
    <w:p w14:paraId="652AFD1A" w14:textId="306973BE" w:rsidR="00701089" w:rsidRPr="00701089" w:rsidRDefault="00701089">
      <w:pPr>
        <w:pStyle w:val="FootnoteText"/>
        <w:rPr>
          <w:lang w:val="en-GB"/>
        </w:rPr>
      </w:pPr>
      <w:r>
        <w:rPr>
          <w:rStyle w:val="FootnoteReference"/>
        </w:rPr>
        <w:footnoteRef/>
      </w:r>
      <w:r>
        <w:t xml:space="preserve"> </w:t>
      </w:r>
      <w:r>
        <w:rPr>
          <w:lang w:val="en-GB"/>
        </w:rPr>
        <w:t>“Human beings only exist as members of communities which share a common language, customs, ways of ordering economic and social life, ways of understanding and coping with their world. If the gospel is to be understood, if it is to be received as something which communicates truth about the real human situation, if it is, as we say, to “make sense,” it has to be communicated in the language of those to whom it is addressed</w:t>
      </w:r>
      <w:r w:rsidR="00297C60">
        <w:rPr>
          <w:lang w:val="en-GB"/>
        </w:rPr>
        <w:t xml:space="preserve"> and has to be clothed in symbols which are meaningful to them.” (141) “The simplest verbal statement of the gospel, “Jesus is Lord,” depends for its meaning on the content which that culture gives to the word “Lord</w:t>
      </w:r>
      <w:proofErr w:type="gramStart"/>
      <w:r w:rsidR="00297C60">
        <w:rPr>
          <w:lang w:val="en-GB"/>
        </w:rPr>
        <w:t>.”…</w:t>
      </w:r>
      <w:proofErr w:type="gramEnd"/>
      <w:r w:rsidR="00297C60">
        <w:rPr>
          <w:lang w:val="en-GB"/>
        </w:rPr>
        <w:t>The missionary does not come with the pure gospel and then adapt it to the culture where she serves: she comes with a gospel which is already embodied in the culture by which the missionary was formed.” (144)</w:t>
      </w:r>
      <w:r w:rsidR="00DE0F35">
        <w:rPr>
          <w:lang w:val="en-GB"/>
        </w:rPr>
        <w:t xml:space="preserve">  [? Include Bible, election in p144-145 plus Allen p147 as a bridge to next point.]</w:t>
      </w:r>
      <w:r w:rsidR="008D064F">
        <w:rPr>
          <w:lang w:val="en-GB"/>
        </w:rPr>
        <w:t xml:space="preserve"> [mention that I will argue that LN </w:t>
      </w:r>
      <w:r w:rsidR="00F66D19">
        <w:rPr>
          <w:lang w:val="en-GB"/>
        </w:rPr>
        <w:t xml:space="preserve">would agree with </w:t>
      </w:r>
      <w:proofErr w:type="spellStart"/>
      <w:r w:rsidR="00F66D19">
        <w:rPr>
          <w:lang w:val="en-GB"/>
        </w:rPr>
        <w:t>Lindbeck’s</w:t>
      </w:r>
      <w:proofErr w:type="spellEnd"/>
      <w:r w:rsidR="00F66D19">
        <w:rPr>
          <w:lang w:val="en-GB"/>
        </w:rPr>
        <w:t xml:space="preserve"> classic formulation of the issue, vis crusader, but his theology should not be characterised as ‘postliberal’ and entirely subject to the critiques levelled at this ‘school’ of theology. </w:t>
      </w:r>
      <w:r w:rsidR="00D978A9">
        <w:rPr>
          <w:lang w:val="en-GB"/>
        </w:rPr>
        <w:t xml:space="preserve">[PB note a-criticality; doctrine of election </w:t>
      </w:r>
      <w:proofErr w:type="spellStart"/>
      <w:r w:rsidR="00D978A9">
        <w:rPr>
          <w:lang w:val="en-GB"/>
        </w:rPr>
        <w:t>coinherent</w:t>
      </w:r>
      <w:proofErr w:type="spellEnd"/>
      <w:r w:rsidR="00D978A9">
        <w:rPr>
          <w:lang w:val="en-GB"/>
        </w:rPr>
        <w:t xml:space="preserve"> with Christology]</w:t>
      </w:r>
    </w:p>
  </w:footnote>
  <w:footnote w:id="2">
    <w:p w14:paraId="22615104" w14:textId="51895113" w:rsidR="003D48BA" w:rsidRPr="003D48BA" w:rsidRDefault="003D48BA" w:rsidP="003E4EB1">
      <w:pPr>
        <w:pStyle w:val="FootnoteText"/>
        <w:rPr>
          <w:lang w:val="en-GB"/>
        </w:rPr>
      </w:pPr>
      <w:r>
        <w:rPr>
          <w:rStyle w:val="FootnoteReference"/>
        </w:rPr>
        <w:footnoteRef/>
      </w:r>
      <w:r>
        <w:t xml:space="preserve"> </w:t>
      </w:r>
      <w:r>
        <w:rPr>
          <w:lang w:val="en-GB"/>
        </w:rPr>
        <w:t>154</w:t>
      </w:r>
      <w:r w:rsidR="003E4EB1">
        <w:rPr>
          <w:lang w:val="en-GB"/>
        </w:rPr>
        <w:t>. “</w:t>
      </w:r>
      <w:r w:rsidR="003E4EB1" w:rsidRPr="003E4EB1">
        <w:rPr>
          <w:lang w:val="en-GB"/>
        </w:rPr>
        <w:t xml:space="preserve">It seems to me to be of great importance to insist that mission is not first of all an action of ours. It is an action of God, the triune God — of God the Father who is ceaselessly at work in all creation and in the hearts and minds of all human beings whether they acknowledge him or not, graciously guiding history toward its true end; of </w:t>
      </w:r>
      <w:proofErr w:type="gramStart"/>
      <w:r w:rsidR="003E4EB1" w:rsidRPr="003E4EB1">
        <w:rPr>
          <w:lang w:val="en-GB"/>
        </w:rPr>
        <w:t>God</w:t>
      </w:r>
      <w:proofErr w:type="gramEnd"/>
      <w:r w:rsidR="003E4EB1" w:rsidRPr="003E4EB1">
        <w:rPr>
          <w:lang w:val="en-GB"/>
        </w:rPr>
        <w:t xml:space="preserve"> the Son who has become part of this created history in the incarnation; and of God the Holy Spirit who is given as a foretaste of the end to empower and teach the Church and to convict the world of sin and righteousness and judgment. Before we speak about our role, the role of our words and deeds in mission, we need to have firmly in the </w:t>
      </w:r>
      <w:proofErr w:type="spellStart"/>
      <w:r w:rsidR="003E4EB1" w:rsidRPr="003E4EB1">
        <w:rPr>
          <w:lang w:val="en-GB"/>
        </w:rPr>
        <w:t>center</w:t>
      </w:r>
      <w:proofErr w:type="spellEnd"/>
      <w:r w:rsidR="003E4EB1" w:rsidRPr="003E4EB1">
        <w:rPr>
          <w:lang w:val="en-GB"/>
        </w:rPr>
        <w:t xml:space="preserve"> of our thinking</w:t>
      </w:r>
      <w:r w:rsidR="009D1DD4">
        <w:rPr>
          <w:lang w:val="en-GB"/>
        </w:rPr>
        <w:t xml:space="preserve"> this action of </w:t>
      </w:r>
      <w:proofErr w:type="gramStart"/>
      <w:r w:rsidR="009D1DD4">
        <w:rPr>
          <w:lang w:val="en-GB"/>
        </w:rPr>
        <w:t>God”(</w:t>
      </w:r>
      <w:proofErr w:type="gramEnd"/>
      <w:r w:rsidR="009D1DD4">
        <w:rPr>
          <w:lang w:val="en-GB"/>
        </w:rPr>
        <w:t>134-135)</w:t>
      </w:r>
    </w:p>
  </w:footnote>
  <w:footnote w:id="3">
    <w:p w14:paraId="3525A85A" w14:textId="77777777" w:rsidR="00983A53" w:rsidRDefault="00983A53" w:rsidP="00983A53">
      <w:pPr>
        <w:pStyle w:val="FootnoteText"/>
      </w:pPr>
      <w:r>
        <w:rPr>
          <w:rStyle w:val="FootnoteReference"/>
        </w:rPr>
        <w:footnoteRef/>
      </w:r>
      <w:r>
        <w:t xml:space="preserve"> </w:t>
      </w:r>
      <w:proofErr w:type="gramStart"/>
      <w:r>
        <w:t>?better</w:t>
      </w:r>
      <w:proofErr w:type="gramEnd"/>
      <w:r>
        <w:t xml:space="preserve"> quotes?…</w:t>
      </w:r>
    </w:p>
    <w:p w14:paraId="00B852DA" w14:textId="77777777" w:rsidR="00983A53" w:rsidRPr="00DE0F35" w:rsidRDefault="00983A53" w:rsidP="00983A53">
      <w:pPr>
        <w:pStyle w:val="FootnoteText"/>
        <w:rPr>
          <w:lang w:val="en-GB"/>
        </w:rPr>
      </w:pPr>
      <w:r>
        <w:t xml:space="preserve">“I am…stressing the priority of the gospel message, embodied in an actual story, of what God has in fact done, is doing, and will do.” (152) </w:t>
      </w:r>
      <w:proofErr w:type="spellStart"/>
      <w:r>
        <w:t>Newbigin</w:t>
      </w:r>
      <w:proofErr w:type="spellEnd"/>
      <w:r>
        <w:t xml:space="preserve"> describes two dangers the church faces: “It can fail by failing to understand and take seriously the world in which it is set, so that the gospel is not heard but remains incomprehensible because the Church has sought security in its own past instead of risking its life in a deep involvement with the world. It can fail, on the other hand, by allowing the world to dictate the issues and the terms of the meeting. The result then is that the world is not challenged at its depth but rather absorbs and domesticates the gospel and uses it to </w:t>
      </w:r>
      <w:proofErr w:type="spellStart"/>
      <w:r>
        <w:t>sacralize</w:t>
      </w:r>
      <w:proofErr w:type="spellEnd"/>
      <w:r>
        <w:t xml:space="preserve"> its own purposes. … True contextualization accords to the gospel its rightful primacy, its power to penetrate every culture and to speak with each culture, in its own speech and symbol, the word which is both No and Yes, both judgement and grace</w:t>
      </w:r>
      <w:proofErr w:type="gramStart"/>
      <w:r>
        <w:t>.”(</w:t>
      </w:r>
      <w:proofErr w:type="gramEnd"/>
      <w:r>
        <w:t xml:space="preserve">152)  </w:t>
      </w:r>
    </w:p>
  </w:footnote>
  <w:footnote w:id="4">
    <w:p w14:paraId="16939358" w14:textId="269F7D73" w:rsidR="00385E81" w:rsidRDefault="00D978A9">
      <w:pPr>
        <w:pStyle w:val="FootnoteText"/>
        <w:rPr>
          <w:lang w:val="en-GB"/>
        </w:rPr>
      </w:pPr>
      <w:r>
        <w:rPr>
          <w:rStyle w:val="FootnoteReference"/>
        </w:rPr>
        <w:footnoteRef/>
      </w:r>
      <w:r>
        <w:t xml:space="preserve"> </w:t>
      </w:r>
      <w:r w:rsidR="00385E81">
        <w:rPr>
          <w:lang w:val="en-GB"/>
        </w:rPr>
        <w:t xml:space="preserve">For </w:t>
      </w:r>
      <w:proofErr w:type="spellStart"/>
      <w:r w:rsidR="00385E81">
        <w:rPr>
          <w:lang w:val="en-GB"/>
        </w:rPr>
        <w:t>Newbigin</w:t>
      </w:r>
      <w:proofErr w:type="spellEnd"/>
      <w:r w:rsidR="00385E81">
        <w:rPr>
          <w:lang w:val="en-GB"/>
        </w:rPr>
        <w:t xml:space="preserve">, “the mission of the church is rooted in the gospel itself” (116 and passim chapter 10) </w:t>
      </w:r>
    </w:p>
    <w:p w14:paraId="096FC471" w14:textId="18A98286" w:rsidR="00D978A9" w:rsidRPr="00D978A9" w:rsidRDefault="00D978A9">
      <w:pPr>
        <w:pStyle w:val="FootnoteText"/>
        <w:rPr>
          <w:lang w:val="en-GB"/>
        </w:rPr>
      </w:pPr>
      <w:r>
        <w:rPr>
          <w:lang w:val="en-GB"/>
        </w:rPr>
        <w:t>“The starting point is God’s revelation of himself as it is witnessed to us in Scripture. The dynamic of mission is the presence of God the Holy Spirit with the power to convict the world and to bring home the truth of the gospel to each human heart</w:t>
      </w:r>
      <w:proofErr w:type="gramStart"/>
      <w:r>
        <w:rPr>
          <w:lang w:val="en-GB"/>
        </w:rPr>
        <w:t>.</w:t>
      </w:r>
      <w:r w:rsidR="003D48BA">
        <w:rPr>
          <w:lang w:val="en-GB"/>
        </w:rPr>
        <w:t>”(</w:t>
      </w:r>
      <w:proofErr w:type="gramEnd"/>
      <w:r w:rsidR="003D48BA">
        <w:rPr>
          <w:lang w:val="en-GB"/>
        </w:rPr>
        <w:t>154)</w:t>
      </w:r>
      <w:r>
        <w:rPr>
          <w:lang w:val="en-GB"/>
        </w:rPr>
        <w:t xml:space="preserve"> </w:t>
      </w:r>
    </w:p>
  </w:footnote>
  <w:footnote w:id="5">
    <w:p w14:paraId="210266E9" w14:textId="67959D0E" w:rsidR="00F8471B" w:rsidRPr="002855EB" w:rsidRDefault="00F8471B" w:rsidP="00F8471B">
      <w:pPr>
        <w:pStyle w:val="FootnoteText"/>
        <w:rPr>
          <w:lang w:val="en-GB"/>
        </w:rPr>
      </w:pPr>
      <w:r>
        <w:rPr>
          <w:rStyle w:val="FootnoteReference"/>
        </w:rPr>
        <w:footnoteRef/>
      </w:r>
      <w:r>
        <w:t xml:space="preserve"> </w:t>
      </w:r>
      <w:r>
        <w:rPr>
          <w:rFonts w:ascii="Arial" w:eastAsia="Times New Roman" w:hAnsi="Arial" w:cs="Arial"/>
        </w:rPr>
        <w:t>I shall argue that the recent work in ‘post-foundational’ epistemology and the theology of Karl Barth by (</w:t>
      </w:r>
      <w:r w:rsidRPr="0068387D">
        <w:rPr>
          <w:rFonts w:ascii="Arial" w:eastAsia="Times New Roman" w:hAnsi="Arial" w:cs="Arial"/>
          <w:b/>
        </w:rPr>
        <w:t>REF</w:t>
      </w:r>
      <w:r>
        <w:rPr>
          <w:rFonts w:ascii="Arial" w:eastAsia="Times New Roman" w:hAnsi="Arial" w:cs="Arial"/>
          <w:b/>
        </w:rPr>
        <w:t>)</w:t>
      </w:r>
      <w:r>
        <w:rPr>
          <w:rFonts w:ascii="Arial" w:eastAsia="Times New Roman" w:hAnsi="Arial" w:cs="Arial"/>
        </w:rPr>
        <w:t xml:space="preserve"> resonates with </w:t>
      </w:r>
      <w:proofErr w:type="spellStart"/>
      <w:r>
        <w:rPr>
          <w:rFonts w:ascii="Arial" w:eastAsia="Times New Roman" w:hAnsi="Arial" w:cs="Arial"/>
        </w:rPr>
        <w:t>Newbigin’s</w:t>
      </w:r>
      <w:proofErr w:type="spellEnd"/>
      <w:r>
        <w:rPr>
          <w:rFonts w:ascii="Arial" w:eastAsia="Times New Roman" w:hAnsi="Arial" w:cs="Arial"/>
        </w:rPr>
        <w:t xml:space="preserve"> position, and extends/elucidates how the interplay between personal commitment (judgment) and criticality functions epistemologically and ultimately theologically.</w:t>
      </w:r>
    </w:p>
  </w:footnote>
  <w:footnote w:id="6">
    <w:p w14:paraId="26A119E7" w14:textId="77777777" w:rsidR="000B1521" w:rsidRPr="00A31092" w:rsidRDefault="000B1521" w:rsidP="000B1521">
      <w:pPr>
        <w:pStyle w:val="FootnoteText"/>
        <w:rPr>
          <w:lang w:val="en-GB"/>
        </w:rPr>
      </w:pPr>
      <w:r>
        <w:rPr>
          <w:rStyle w:val="FootnoteReference"/>
        </w:rPr>
        <w:footnoteRef/>
      </w:r>
      <w:r>
        <w:t xml:space="preserve"> </w:t>
      </w:r>
      <w:r>
        <w:rPr>
          <w:lang w:val="en-GB"/>
        </w:rPr>
        <w:t>2</w:t>
      </w:r>
    </w:p>
  </w:footnote>
  <w:footnote w:id="7">
    <w:p w14:paraId="41805F8B" w14:textId="1D9743E0" w:rsidR="00866492" w:rsidRPr="000B1521" w:rsidRDefault="00866492" w:rsidP="009F142B">
      <w:pPr>
        <w:pStyle w:val="FootnoteText"/>
        <w:rPr>
          <w:lang w:val="en-GB"/>
        </w:rPr>
      </w:pPr>
      <w:r>
        <w:rPr>
          <w:rStyle w:val="FootnoteReference"/>
        </w:rPr>
        <w:footnoteRef/>
      </w:r>
      <w:r>
        <w:t xml:space="preserve"> </w:t>
      </w:r>
      <w:r>
        <w:rPr>
          <w:lang w:val="en-GB"/>
        </w:rPr>
        <w:t>This is significant to the parallel I wish to draw between the stunning exegesis of Karl Barth’s theology by Bruce McCormack, which entails a profound questioning of the place of metaphysics in theology.</w:t>
      </w:r>
      <w:r w:rsidR="004A7D51">
        <w:rPr>
          <w:lang w:val="en-GB"/>
        </w:rPr>
        <w:t xml:space="preserve"> </w:t>
      </w:r>
      <w:proofErr w:type="spellStart"/>
      <w:r w:rsidR="004A7D51">
        <w:rPr>
          <w:lang w:val="en-GB"/>
        </w:rPr>
        <w:t>Newbigin</w:t>
      </w:r>
      <w:proofErr w:type="spellEnd"/>
      <w:r w:rsidR="004A7D51">
        <w:rPr>
          <w:lang w:val="en-GB"/>
        </w:rPr>
        <w:t xml:space="preserve"> writes: “</w:t>
      </w:r>
      <w:r w:rsidR="009F142B" w:rsidRPr="009F142B">
        <w:rPr>
          <w:lang w:val="en-GB"/>
        </w:rPr>
        <w:t xml:space="preserve">Here, I think, is the point at which we may well feel that the eighteenth-century defenders of the faith were most wide of the mark. The Christian religion which they sought to defend was a system of timeless metaphysical truths about God, nature, and man. The Bible was a source of information about such of these eternal truths as could not be discovered by direct observation of nature or by reflection on innate human ideas. Any valid </w:t>
      </w:r>
      <w:proofErr w:type="spellStart"/>
      <w:r w:rsidR="009F142B" w:rsidRPr="009F142B">
        <w:rPr>
          <w:lang w:val="en-GB"/>
        </w:rPr>
        <w:t>defense</w:t>
      </w:r>
      <w:proofErr w:type="spellEnd"/>
      <w:r w:rsidR="009F142B" w:rsidRPr="009F142B">
        <w:rPr>
          <w:lang w:val="en-GB"/>
        </w:rPr>
        <w:t xml:space="preserve"> of the Christian faith, I believe, must take a quite different route. The Christian faith, rooted in the Bible, is — I am convinced — primarily to be understood as an interpretation of the story — the human story set within the story of nature. Our dialogue as Christians, therefore, with the modern world, will be as much a dialogue with the historians as with the natural scientists. Every understanding of the human story, even more obviously than every understanding of the natural world, must rest heavily on a faith commitment — for we do not yet see the end of the story. But no human life is possible without some idea, explicit or implicit, about what the story means. The Christian faith is — as often said — a historical faith not just in the sense that it depends on a historical record, but also in the sense that it is essentially an interpretation of universal history.</w:t>
      </w:r>
      <w:r w:rsidR="009F142B">
        <w:rPr>
          <w:lang w:val="en-GB"/>
        </w:rPr>
        <w:t xml:space="preserve"> </w:t>
      </w:r>
      <w:r w:rsidR="009F142B" w:rsidRPr="009F142B">
        <w:rPr>
          <w:lang w:val="en-GB"/>
        </w:rPr>
        <w:t xml:space="preserve">Its </w:t>
      </w:r>
      <w:proofErr w:type="spellStart"/>
      <w:r w:rsidR="009F142B" w:rsidRPr="009F142B">
        <w:rPr>
          <w:lang w:val="en-GB"/>
        </w:rPr>
        <w:t>defense</w:t>
      </w:r>
      <w:proofErr w:type="spellEnd"/>
      <w:r w:rsidR="009F142B" w:rsidRPr="009F142B">
        <w:rPr>
          <w:lang w:val="en-GB"/>
        </w:rPr>
        <w:t>, therefore, will be as much concerned with how we act as with what we can say.</w:t>
      </w:r>
      <w:r w:rsidR="009F142B">
        <w:rPr>
          <w:lang w:val="en-GB"/>
        </w:rPr>
        <w:t>” (12-13)</w:t>
      </w:r>
    </w:p>
  </w:footnote>
  <w:footnote w:id="8">
    <w:p w14:paraId="3F4BCB70" w14:textId="083A4C35" w:rsidR="007D535B" w:rsidRPr="00DC3B47" w:rsidRDefault="00DC3B47" w:rsidP="00AF746D">
      <w:pPr>
        <w:pStyle w:val="FootnoteText"/>
        <w:rPr>
          <w:lang w:val="en-GB"/>
        </w:rPr>
      </w:pPr>
      <w:r>
        <w:rPr>
          <w:rStyle w:val="FootnoteReference"/>
        </w:rPr>
        <w:footnoteRef/>
      </w:r>
      <w:r>
        <w:t xml:space="preserve"> </w:t>
      </w:r>
      <w:r w:rsidR="001964A7">
        <w:t xml:space="preserve">(5-6). Apart from the epistemological points that I wish to draw out, it should be noted that </w:t>
      </w:r>
      <w:proofErr w:type="spellStart"/>
      <w:r w:rsidR="001964A7">
        <w:t>Newbigin</w:t>
      </w:r>
      <w:proofErr w:type="spellEnd"/>
      <w:r w:rsidR="001964A7">
        <w:t xml:space="preserve"> is well aware of the offense such a way of stating the gospel elicits. </w:t>
      </w:r>
      <w:r w:rsidR="004F3676">
        <w:rPr>
          <w:lang w:val="en-GB"/>
        </w:rPr>
        <w:t>“</w:t>
      </w:r>
      <w:r w:rsidR="004F3676" w:rsidRPr="004F3676">
        <w:rPr>
          <w:lang w:val="en-GB"/>
        </w:rPr>
        <w:t>The Church is not generally perceived as concerned with facts, with the realities which finally govern the world and which we shall in the end have to acknowledge whether we like them or not. In this cultural milieu, the confident announcement of the Christian faith sounds like an arrogant attempt of some people to impose their values on others. As long as the Church is content to offer its beliefs modestly as simply one of the many brands available in the ideological supermarket, no offense is taken. But the affirmation that the truth revealed in the gospel ought to govern public life is offensive</w:t>
      </w:r>
      <w:proofErr w:type="gramStart"/>
      <w:r w:rsidR="004F3676" w:rsidRPr="004F3676">
        <w:rPr>
          <w:lang w:val="en-GB"/>
        </w:rPr>
        <w:t>.</w:t>
      </w:r>
      <w:r w:rsidR="004F3676">
        <w:rPr>
          <w:lang w:val="en-GB"/>
        </w:rPr>
        <w:t>”(</w:t>
      </w:r>
      <w:proofErr w:type="gramEnd"/>
      <w:r w:rsidR="004F3676">
        <w:rPr>
          <w:lang w:val="en-GB"/>
        </w:rPr>
        <w:t>7)</w:t>
      </w:r>
      <w:r w:rsidR="001964A7">
        <w:rPr>
          <w:lang w:val="en-GB"/>
        </w:rPr>
        <w:t xml:space="preserve"> </w:t>
      </w:r>
      <w:proofErr w:type="spellStart"/>
      <w:r w:rsidR="001964A7">
        <w:rPr>
          <w:lang w:val="en-GB"/>
        </w:rPr>
        <w:t>Newbigin</w:t>
      </w:r>
      <w:proofErr w:type="spellEnd"/>
      <w:r w:rsidR="001964A7">
        <w:rPr>
          <w:lang w:val="en-GB"/>
        </w:rPr>
        <w:t xml:space="preserve"> says that this has always been the case, and at all points in western civilization (not just recent centuries in the west): </w:t>
      </w:r>
      <w:r w:rsidR="007D535B">
        <w:rPr>
          <w:lang w:val="en-GB"/>
        </w:rPr>
        <w:t>“</w:t>
      </w:r>
      <w:r w:rsidR="00AF746D" w:rsidRPr="00AF746D">
        <w:rPr>
          <w:lang w:val="en-GB"/>
        </w:rPr>
        <w:t>It is no secret, indeed it has been affirmed from the beginning, that the gospel gives rise to a new plausibility structure, a radically different vision of things from those that shape all human cultures apart from the gospel. The Church, therefore, as the bearer of the gospel, inhabits a plausibility structure which is at variance with, and which calls in question, those that govern all human cultures without exception.</w:t>
      </w:r>
      <w:r w:rsidR="00AF746D">
        <w:rPr>
          <w:lang w:val="en-GB"/>
        </w:rPr>
        <w:t>”(9)</w:t>
      </w:r>
      <w:r w:rsidR="001964A7" w:rsidRPr="001964A7">
        <w:t xml:space="preserve"> </w:t>
      </w:r>
      <w:r w:rsidR="001964A7">
        <w:t>But this has never entitled the church to impose the gospel, which would actually be a contradiction in terms: “We must affirm the gospel as truth, universal truth, truth for all peoples and for all times, the truth which creates the possibility of freedom; but we negate the gospel if we deny the freedom in which alone it can be truly believed.”(10)</w:t>
      </w:r>
    </w:p>
  </w:footnote>
  <w:footnote w:id="9">
    <w:p w14:paraId="3A83DCAC" w14:textId="2E3C7E88" w:rsidR="007D535B" w:rsidRPr="007D535B" w:rsidRDefault="007D535B">
      <w:pPr>
        <w:pStyle w:val="FootnoteText"/>
        <w:rPr>
          <w:lang w:val="en-GB"/>
        </w:rPr>
      </w:pPr>
      <w:r>
        <w:rPr>
          <w:rStyle w:val="FootnoteReference"/>
        </w:rPr>
        <w:footnoteRef/>
      </w:r>
      <w:r>
        <w:t xml:space="preserve"> </w:t>
      </w:r>
      <w:r>
        <w:rPr>
          <w:lang w:val="en-GB"/>
        </w:rPr>
        <w:t>12</w:t>
      </w:r>
    </w:p>
  </w:footnote>
  <w:footnote w:id="10">
    <w:p w14:paraId="45944DA7" w14:textId="12E88F26" w:rsidR="00CA61C5" w:rsidRPr="00CA61C5" w:rsidRDefault="00CA61C5" w:rsidP="00FD60CB">
      <w:pPr>
        <w:pStyle w:val="FootnoteText"/>
        <w:rPr>
          <w:lang w:val="en-GB"/>
        </w:rPr>
      </w:pPr>
      <w:r>
        <w:rPr>
          <w:rStyle w:val="FootnoteReference"/>
        </w:rPr>
        <w:footnoteRef/>
      </w:r>
      <w:r>
        <w:t xml:space="preserve"> </w:t>
      </w:r>
      <w:r>
        <w:rPr>
          <w:lang w:val="en-GB"/>
        </w:rPr>
        <w:t>16</w:t>
      </w:r>
      <w:r w:rsidR="00167A22">
        <w:rPr>
          <w:lang w:val="en-GB"/>
        </w:rPr>
        <w:t xml:space="preserve">. </w:t>
      </w:r>
      <w:r w:rsidR="00887E21">
        <w:rPr>
          <w:lang w:val="en-GB"/>
        </w:rPr>
        <w:t xml:space="preserve">He notes, with Max Weber, that Nietzsche </w:t>
      </w:r>
      <w:r w:rsidR="00FD60CB">
        <w:rPr>
          <w:lang w:val="en-GB"/>
        </w:rPr>
        <w:t>“</w:t>
      </w:r>
      <w:r w:rsidR="00FD60CB" w:rsidRPr="00FD60CB">
        <w:rPr>
          <w:lang w:val="en-GB"/>
        </w:rPr>
        <w:t xml:space="preserve">was the first to realize that the operation of the modern critical principle would make it impossible any more to speak of right and wrong. The factual, ontological basis for using such language had been removed. There could only be personal choice. And what could guide that choice except the will? We choose what we want. </w:t>
      </w:r>
      <w:proofErr w:type="gramStart"/>
      <w:r w:rsidR="00FD60CB" w:rsidRPr="00FD60CB">
        <w:rPr>
          <w:lang w:val="en-GB"/>
        </w:rPr>
        <w:t>So</w:t>
      </w:r>
      <w:proofErr w:type="gramEnd"/>
      <w:r w:rsidR="00FD60CB" w:rsidRPr="00FD60CB">
        <w:rPr>
          <w:lang w:val="en-GB"/>
        </w:rPr>
        <w:t xml:space="preserve"> we are left with the will to power. This, it seems to me, perfectly explains the dichotomy of our usage between what we call “values” and what we call “facts.” Facts are what we have to reckon with whether we like them or not. Values are what we choose because we want them — either for ourselves or for someone else</w:t>
      </w:r>
      <w:proofErr w:type="gramStart"/>
      <w:r w:rsidR="00FD60CB" w:rsidRPr="00FD60CB">
        <w:rPr>
          <w:lang w:val="en-GB"/>
        </w:rPr>
        <w:t>.</w:t>
      </w:r>
      <w:r w:rsidR="00FD60CB">
        <w:rPr>
          <w:lang w:val="en-GB"/>
        </w:rPr>
        <w:t>”(</w:t>
      </w:r>
      <w:proofErr w:type="gramEnd"/>
      <w:r w:rsidR="00FD60CB">
        <w:rPr>
          <w:lang w:val="en-GB"/>
        </w:rPr>
        <w:t>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6F"/>
    <w:rsid w:val="000604DF"/>
    <w:rsid w:val="00081EFB"/>
    <w:rsid w:val="00095D75"/>
    <w:rsid w:val="000B1521"/>
    <w:rsid w:val="000F57CD"/>
    <w:rsid w:val="0010177F"/>
    <w:rsid w:val="00167A22"/>
    <w:rsid w:val="001806A3"/>
    <w:rsid w:val="00184165"/>
    <w:rsid w:val="001964A7"/>
    <w:rsid w:val="001B65CB"/>
    <w:rsid w:val="001C5BA2"/>
    <w:rsid w:val="001D2C37"/>
    <w:rsid w:val="00202380"/>
    <w:rsid w:val="0024405E"/>
    <w:rsid w:val="00244099"/>
    <w:rsid w:val="00282DED"/>
    <w:rsid w:val="002855EB"/>
    <w:rsid w:val="00297C60"/>
    <w:rsid w:val="00330779"/>
    <w:rsid w:val="00356CBA"/>
    <w:rsid w:val="00366491"/>
    <w:rsid w:val="0037572A"/>
    <w:rsid w:val="00385E81"/>
    <w:rsid w:val="003C0C72"/>
    <w:rsid w:val="003D48BA"/>
    <w:rsid w:val="003D5989"/>
    <w:rsid w:val="003D63CF"/>
    <w:rsid w:val="003E4EB1"/>
    <w:rsid w:val="00403CDD"/>
    <w:rsid w:val="004217CC"/>
    <w:rsid w:val="0043463C"/>
    <w:rsid w:val="00471BCC"/>
    <w:rsid w:val="004A7D51"/>
    <w:rsid w:val="004F3676"/>
    <w:rsid w:val="004F6314"/>
    <w:rsid w:val="0056687F"/>
    <w:rsid w:val="0062610F"/>
    <w:rsid w:val="00636BF3"/>
    <w:rsid w:val="006371F3"/>
    <w:rsid w:val="0068387D"/>
    <w:rsid w:val="00693BB9"/>
    <w:rsid w:val="006B3B59"/>
    <w:rsid w:val="006B5F18"/>
    <w:rsid w:val="00701089"/>
    <w:rsid w:val="0073201B"/>
    <w:rsid w:val="00752DE1"/>
    <w:rsid w:val="007D535B"/>
    <w:rsid w:val="007D6987"/>
    <w:rsid w:val="008145F0"/>
    <w:rsid w:val="00866492"/>
    <w:rsid w:val="00887E21"/>
    <w:rsid w:val="008D064F"/>
    <w:rsid w:val="008E67D8"/>
    <w:rsid w:val="00973FA5"/>
    <w:rsid w:val="00983A53"/>
    <w:rsid w:val="009D1DD4"/>
    <w:rsid w:val="009E7D87"/>
    <w:rsid w:val="009F142B"/>
    <w:rsid w:val="00A31092"/>
    <w:rsid w:val="00A463A5"/>
    <w:rsid w:val="00A96D76"/>
    <w:rsid w:val="00A979FD"/>
    <w:rsid w:val="00AF1076"/>
    <w:rsid w:val="00AF746D"/>
    <w:rsid w:val="00B0786A"/>
    <w:rsid w:val="00B856F1"/>
    <w:rsid w:val="00B9465D"/>
    <w:rsid w:val="00BC6B27"/>
    <w:rsid w:val="00C45566"/>
    <w:rsid w:val="00C876D8"/>
    <w:rsid w:val="00C91E7F"/>
    <w:rsid w:val="00CA61C5"/>
    <w:rsid w:val="00CB00F1"/>
    <w:rsid w:val="00CC106F"/>
    <w:rsid w:val="00D76B79"/>
    <w:rsid w:val="00D978A9"/>
    <w:rsid w:val="00DC22C6"/>
    <w:rsid w:val="00DC3B47"/>
    <w:rsid w:val="00DE0F35"/>
    <w:rsid w:val="00DE6C91"/>
    <w:rsid w:val="00E12EBE"/>
    <w:rsid w:val="00E27CBB"/>
    <w:rsid w:val="00E42D78"/>
    <w:rsid w:val="00E63643"/>
    <w:rsid w:val="00E8022C"/>
    <w:rsid w:val="00EB70A1"/>
    <w:rsid w:val="00F01C8E"/>
    <w:rsid w:val="00F5337E"/>
    <w:rsid w:val="00F64A34"/>
    <w:rsid w:val="00F66D19"/>
    <w:rsid w:val="00F8471B"/>
    <w:rsid w:val="00FD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B8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106F"/>
  </w:style>
  <w:style w:type="paragraph" w:styleId="EndnoteText">
    <w:name w:val="endnote text"/>
    <w:basedOn w:val="Normal"/>
    <w:link w:val="EndnoteTextChar"/>
    <w:uiPriority w:val="99"/>
    <w:unhideWhenUsed/>
    <w:rsid w:val="00CC106F"/>
  </w:style>
  <w:style w:type="character" w:customStyle="1" w:styleId="EndnoteTextChar">
    <w:name w:val="Endnote Text Char"/>
    <w:basedOn w:val="DefaultParagraphFont"/>
    <w:link w:val="EndnoteText"/>
    <w:uiPriority w:val="99"/>
    <w:rsid w:val="00CC106F"/>
  </w:style>
  <w:style w:type="character" w:styleId="EndnoteReference">
    <w:name w:val="endnote reference"/>
    <w:basedOn w:val="DefaultParagraphFont"/>
    <w:uiPriority w:val="99"/>
    <w:unhideWhenUsed/>
    <w:rsid w:val="00CC106F"/>
    <w:rPr>
      <w:vertAlign w:val="superscript"/>
    </w:rPr>
  </w:style>
  <w:style w:type="paragraph" w:styleId="FootnoteText">
    <w:name w:val="footnote text"/>
    <w:basedOn w:val="Normal"/>
    <w:link w:val="FootnoteTextChar"/>
    <w:uiPriority w:val="99"/>
    <w:unhideWhenUsed/>
    <w:rsid w:val="00701089"/>
  </w:style>
  <w:style w:type="character" w:customStyle="1" w:styleId="FootnoteTextChar">
    <w:name w:val="Footnote Text Char"/>
    <w:basedOn w:val="DefaultParagraphFont"/>
    <w:link w:val="FootnoteText"/>
    <w:uiPriority w:val="99"/>
    <w:rsid w:val="00701089"/>
  </w:style>
  <w:style w:type="character" w:styleId="FootnoteReference">
    <w:name w:val="footnote reference"/>
    <w:basedOn w:val="DefaultParagraphFont"/>
    <w:uiPriority w:val="99"/>
    <w:unhideWhenUsed/>
    <w:rsid w:val="00701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4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6091BB-FA29-904F-9C6A-2DAA4603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8</Pages>
  <Words>1455</Words>
  <Characters>8294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Bellenger</dc:creator>
  <cp:keywords/>
  <dc:description/>
  <cp:lastModifiedBy>Pete Bellenger</cp:lastModifiedBy>
  <cp:revision>11</cp:revision>
  <dcterms:created xsi:type="dcterms:W3CDTF">2018-05-05T15:49:00Z</dcterms:created>
  <dcterms:modified xsi:type="dcterms:W3CDTF">2018-06-03T21:07:00Z</dcterms:modified>
</cp:coreProperties>
</file>